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7AF7D1" w14:textId="77777777" w:rsidR="00733C4F" w:rsidRDefault="00733C4F" w:rsidP="00733C4F">
      <w:pPr>
        <w:spacing w:line="240" w:lineRule="auto"/>
        <w:jc w:val="center"/>
        <w:rPr>
          <w:rFonts w:ascii="Times New Roman" w:hAnsi="Times New Roman"/>
          <w:b/>
          <w:sz w:val="24"/>
          <w:szCs w:val="24"/>
        </w:rPr>
      </w:pPr>
      <w:r>
        <w:rPr>
          <w:rFonts w:ascii="Times New Roman" w:hAnsi="Times New Roman"/>
          <w:b/>
          <w:sz w:val="24"/>
          <w:szCs w:val="24"/>
        </w:rPr>
        <w:t xml:space="preserve">PETROLEUM AND NATURAL GAS REGULATORY BOARD </w:t>
      </w:r>
    </w:p>
    <w:p w14:paraId="0181FAED" w14:textId="77777777" w:rsidR="00733C4F" w:rsidRDefault="00733C4F" w:rsidP="00733C4F">
      <w:pPr>
        <w:spacing w:line="240" w:lineRule="auto"/>
        <w:jc w:val="center"/>
        <w:rPr>
          <w:rFonts w:ascii="Times New Roman" w:hAnsi="Times New Roman"/>
          <w:b/>
          <w:sz w:val="24"/>
          <w:szCs w:val="24"/>
        </w:rPr>
      </w:pPr>
      <w:r>
        <w:rPr>
          <w:rFonts w:ascii="Times New Roman" w:hAnsi="Times New Roman"/>
          <w:b/>
          <w:sz w:val="24"/>
          <w:szCs w:val="24"/>
        </w:rPr>
        <w:t>NOTIFICATION</w:t>
      </w:r>
    </w:p>
    <w:p w14:paraId="7283FC15" w14:textId="77777777" w:rsidR="00733C4F" w:rsidRDefault="00733C4F" w:rsidP="00733C4F">
      <w:pPr>
        <w:spacing w:line="240" w:lineRule="auto"/>
        <w:jc w:val="center"/>
        <w:rPr>
          <w:rFonts w:ascii="Times New Roman" w:hAnsi="Times New Roman"/>
          <w:sz w:val="24"/>
          <w:szCs w:val="24"/>
        </w:rPr>
      </w:pPr>
      <w:r>
        <w:rPr>
          <w:rFonts w:ascii="Times New Roman" w:hAnsi="Times New Roman"/>
          <w:sz w:val="24"/>
          <w:szCs w:val="24"/>
        </w:rPr>
        <w:t>New Delhi, the 20</w:t>
      </w:r>
      <w:r>
        <w:rPr>
          <w:rFonts w:ascii="Times New Roman" w:hAnsi="Times New Roman"/>
          <w:sz w:val="24"/>
          <w:szCs w:val="24"/>
          <w:vertAlign w:val="superscript"/>
        </w:rPr>
        <w:t>th</w:t>
      </w:r>
      <w:r>
        <w:rPr>
          <w:rFonts w:ascii="Times New Roman" w:hAnsi="Times New Roman"/>
          <w:sz w:val="24"/>
          <w:szCs w:val="24"/>
        </w:rPr>
        <w:t xml:space="preserve"> December, 2010</w:t>
      </w:r>
    </w:p>
    <w:p w14:paraId="4C6AB55B" w14:textId="77777777" w:rsidR="00733C4F" w:rsidRDefault="00733C4F" w:rsidP="00733C4F">
      <w:pPr>
        <w:jc w:val="both"/>
        <w:rPr>
          <w:rFonts w:ascii="Times New Roman" w:hAnsi="Times New Roman"/>
          <w:sz w:val="24"/>
          <w:szCs w:val="24"/>
        </w:rPr>
      </w:pPr>
      <w:r>
        <w:rPr>
          <w:rFonts w:ascii="Times New Roman" w:hAnsi="Times New Roman"/>
          <w:b/>
          <w:sz w:val="24"/>
          <w:szCs w:val="24"/>
        </w:rPr>
        <w:t>G.S.R. 987(E).</w:t>
      </w:r>
      <w:r>
        <w:rPr>
          <w:rFonts w:ascii="Times New Roman" w:hAnsi="Times New Roman"/>
          <w:sz w:val="24"/>
          <w:szCs w:val="24"/>
        </w:rPr>
        <w:t xml:space="preserve"> --- In exercise of the powers conferred by Section 61 of the Petroleum and Natural Gas Regulatory Board Act, 2006 (19 of 2006), the Petroleum and Natural Gas Regulatory Board hereby makes the following regulations, namely: -</w:t>
      </w:r>
    </w:p>
    <w:p w14:paraId="34BC2F83" w14:textId="77777777" w:rsidR="00733C4F" w:rsidRPr="00947138" w:rsidRDefault="00733C4F" w:rsidP="00733C4F">
      <w:pPr>
        <w:pStyle w:val="ListParagraph"/>
        <w:numPr>
          <w:ilvl w:val="0"/>
          <w:numId w:val="5"/>
        </w:numPr>
        <w:jc w:val="both"/>
        <w:rPr>
          <w:rFonts w:ascii="Times New Roman" w:hAnsi="Times New Roman"/>
          <w:b/>
          <w:sz w:val="24"/>
          <w:szCs w:val="24"/>
        </w:rPr>
      </w:pPr>
      <w:r w:rsidRPr="00947138">
        <w:rPr>
          <w:rFonts w:ascii="Times New Roman" w:hAnsi="Times New Roman"/>
          <w:b/>
          <w:sz w:val="24"/>
          <w:szCs w:val="24"/>
        </w:rPr>
        <w:t>Short title and commencement</w:t>
      </w:r>
    </w:p>
    <w:p w14:paraId="32778B0F" w14:textId="77777777" w:rsidR="00733C4F" w:rsidRDefault="00733C4F" w:rsidP="00733C4F">
      <w:pPr>
        <w:numPr>
          <w:ilvl w:val="0"/>
          <w:numId w:val="2"/>
        </w:numPr>
        <w:ind w:left="1134"/>
        <w:jc w:val="both"/>
        <w:rPr>
          <w:rFonts w:ascii="Times New Roman" w:hAnsi="Times New Roman"/>
          <w:sz w:val="24"/>
          <w:szCs w:val="24"/>
        </w:rPr>
      </w:pPr>
      <w:r>
        <w:rPr>
          <w:rFonts w:ascii="Times New Roman" w:hAnsi="Times New Roman"/>
          <w:sz w:val="24"/>
          <w:szCs w:val="24"/>
        </w:rPr>
        <w:t>These regulations may be called the Petroleum and Natural Gas Regulatory Board (Determination of Petroleum and Petroleum Products Pipeline Transportation Tariff) Regulations, 2010.</w:t>
      </w:r>
    </w:p>
    <w:p w14:paraId="2F1E8974" w14:textId="77777777" w:rsidR="00733C4F" w:rsidRDefault="00733C4F" w:rsidP="00733C4F">
      <w:pPr>
        <w:numPr>
          <w:ilvl w:val="0"/>
          <w:numId w:val="2"/>
        </w:numPr>
        <w:ind w:left="1134"/>
        <w:jc w:val="both"/>
        <w:rPr>
          <w:rFonts w:ascii="Times New Roman" w:hAnsi="Times New Roman"/>
          <w:sz w:val="24"/>
          <w:szCs w:val="24"/>
        </w:rPr>
      </w:pPr>
      <w:r>
        <w:rPr>
          <w:rFonts w:ascii="Times New Roman" w:hAnsi="Times New Roman"/>
          <w:sz w:val="24"/>
          <w:szCs w:val="24"/>
        </w:rPr>
        <w:t>These shall come into force on the date of their publication in the Official Gazette.</w:t>
      </w:r>
    </w:p>
    <w:p w14:paraId="418BFA29" w14:textId="77777777" w:rsidR="00733C4F" w:rsidRPr="00947138" w:rsidRDefault="00733C4F" w:rsidP="00733C4F">
      <w:pPr>
        <w:pStyle w:val="ListParagraph"/>
        <w:numPr>
          <w:ilvl w:val="0"/>
          <w:numId w:val="5"/>
        </w:numPr>
        <w:jc w:val="both"/>
        <w:rPr>
          <w:rFonts w:ascii="Times New Roman" w:hAnsi="Times New Roman"/>
          <w:b/>
          <w:sz w:val="24"/>
          <w:szCs w:val="24"/>
        </w:rPr>
      </w:pPr>
      <w:r w:rsidRPr="00947138">
        <w:rPr>
          <w:rFonts w:ascii="Times New Roman" w:hAnsi="Times New Roman"/>
          <w:b/>
          <w:sz w:val="24"/>
          <w:szCs w:val="24"/>
        </w:rPr>
        <w:t>Definitions</w:t>
      </w:r>
    </w:p>
    <w:p w14:paraId="3208DAA0" w14:textId="77777777" w:rsidR="00733C4F" w:rsidRDefault="00733C4F" w:rsidP="00733C4F">
      <w:pPr>
        <w:ind w:left="851"/>
        <w:jc w:val="both"/>
        <w:rPr>
          <w:rFonts w:ascii="Times New Roman" w:hAnsi="Times New Roman"/>
          <w:sz w:val="24"/>
          <w:szCs w:val="24"/>
        </w:rPr>
      </w:pPr>
      <w:r>
        <w:rPr>
          <w:rFonts w:ascii="Times New Roman" w:hAnsi="Times New Roman"/>
          <w:sz w:val="24"/>
          <w:szCs w:val="24"/>
        </w:rPr>
        <w:t xml:space="preserve">(1) In these regulations, unless the context otherwise </w:t>
      </w:r>
      <w:proofErr w:type="gramStart"/>
      <w:r>
        <w:rPr>
          <w:rFonts w:ascii="Times New Roman" w:hAnsi="Times New Roman"/>
          <w:sz w:val="24"/>
          <w:szCs w:val="24"/>
        </w:rPr>
        <w:t>requires,--</w:t>
      </w:r>
      <w:proofErr w:type="gramEnd"/>
    </w:p>
    <w:p w14:paraId="18B7FCE7" w14:textId="77777777" w:rsidR="00733C4F" w:rsidRDefault="00733C4F" w:rsidP="00733C4F">
      <w:pPr>
        <w:numPr>
          <w:ilvl w:val="0"/>
          <w:numId w:val="3"/>
        </w:numPr>
        <w:ind w:left="1560"/>
        <w:jc w:val="both"/>
        <w:rPr>
          <w:rFonts w:ascii="Times New Roman" w:hAnsi="Times New Roman"/>
          <w:sz w:val="24"/>
          <w:szCs w:val="24"/>
        </w:rPr>
      </w:pPr>
      <w:r>
        <w:rPr>
          <w:rFonts w:ascii="Times New Roman" w:hAnsi="Times New Roman"/>
          <w:sz w:val="24"/>
          <w:szCs w:val="24"/>
        </w:rPr>
        <w:t>“Act” means the Petroleum and Natural Gas Regulatory Board Act, 2006;</w:t>
      </w:r>
    </w:p>
    <w:p w14:paraId="656DD60C" w14:textId="77777777" w:rsidR="00733C4F" w:rsidRDefault="00733C4F" w:rsidP="00733C4F">
      <w:pPr>
        <w:numPr>
          <w:ilvl w:val="0"/>
          <w:numId w:val="3"/>
        </w:numPr>
        <w:ind w:left="1560"/>
        <w:jc w:val="both"/>
        <w:rPr>
          <w:rFonts w:ascii="Times New Roman" w:hAnsi="Times New Roman"/>
          <w:sz w:val="24"/>
          <w:szCs w:val="24"/>
        </w:rPr>
      </w:pPr>
      <w:r>
        <w:rPr>
          <w:rFonts w:ascii="Times New Roman" w:hAnsi="Times New Roman"/>
          <w:sz w:val="24"/>
          <w:szCs w:val="24"/>
        </w:rPr>
        <w:t>“appointed day” means the date of October 1, 2007;</w:t>
      </w:r>
    </w:p>
    <w:p w14:paraId="41B98A0A" w14:textId="77777777" w:rsidR="00733C4F" w:rsidRDefault="00733C4F" w:rsidP="00733C4F">
      <w:pPr>
        <w:numPr>
          <w:ilvl w:val="0"/>
          <w:numId w:val="3"/>
        </w:numPr>
        <w:ind w:left="1560"/>
        <w:jc w:val="both"/>
        <w:rPr>
          <w:rFonts w:ascii="Times New Roman" w:hAnsi="Times New Roman"/>
          <w:sz w:val="24"/>
          <w:szCs w:val="24"/>
        </w:rPr>
      </w:pPr>
      <w:r>
        <w:rPr>
          <w:rFonts w:ascii="Times New Roman" w:hAnsi="Times New Roman"/>
          <w:sz w:val="24"/>
          <w:szCs w:val="24"/>
        </w:rPr>
        <w:t>“Board” means the Petroleum and Natural Gas Regulatory Board established under sub-section (1) of the Section 3 of the Act;</w:t>
      </w:r>
    </w:p>
    <w:p w14:paraId="05F168E5" w14:textId="77777777" w:rsidR="00733C4F" w:rsidRDefault="00733C4F" w:rsidP="00733C4F">
      <w:pPr>
        <w:numPr>
          <w:ilvl w:val="0"/>
          <w:numId w:val="3"/>
        </w:numPr>
        <w:ind w:left="1560"/>
        <w:jc w:val="both"/>
        <w:rPr>
          <w:rFonts w:ascii="Times New Roman" w:hAnsi="Times New Roman"/>
          <w:sz w:val="24"/>
          <w:szCs w:val="24"/>
        </w:rPr>
      </w:pPr>
      <w:r>
        <w:rPr>
          <w:rFonts w:ascii="Times New Roman" w:hAnsi="Times New Roman"/>
          <w:sz w:val="24"/>
          <w:szCs w:val="24"/>
        </w:rPr>
        <w:t>“Petroleum and petroleum products pipeline” means any pipeline as defined in the Petroleum and Natural Gas Regulatory Board (Authorizing Entities to Lay, Build, Operate or Expand Petroleum and Petroleum Products Pipelines) Regulations, 2010;</w:t>
      </w:r>
    </w:p>
    <w:p w14:paraId="1951C2B4" w14:textId="77777777" w:rsidR="00733C4F" w:rsidRDefault="00733C4F" w:rsidP="00733C4F">
      <w:pPr>
        <w:numPr>
          <w:ilvl w:val="0"/>
          <w:numId w:val="3"/>
        </w:numPr>
        <w:ind w:left="1560"/>
        <w:jc w:val="both"/>
        <w:rPr>
          <w:rFonts w:ascii="Times New Roman" w:hAnsi="Times New Roman"/>
          <w:sz w:val="24"/>
          <w:szCs w:val="24"/>
        </w:rPr>
      </w:pPr>
      <w:r>
        <w:rPr>
          <w:rFonts w:ascii="Times New Roman" w:hAnsi="Times New Roman"/>
          <w:sz w:val="24"/>
          <w:szCs w:val="24"/>
        </w:rPr>
        <w:t xml:space="preserve"> “Petroleum and Petroleum </w:t>
      </w:r>
      <w:proofErr w:type="gramStart"/>
      <w:r>
        <w:rPr>
          <w:rFonts w:ascii="Times New Roman" w:hAnsi="Times New Roman"/>
          <w:sz w:val="24"/>
          <w:szCs w:val="24"/>
        </w:rPr>
        <w:t>products</w:t>
      </w:r>
      <w:proofErr w:type="gramEnd"/>
      <w:r>
        <w:rPr>
          <w:rFonts w:ascii="Times New Roman" w:hAnsi="Times New Roman"/>
          <w:sz w:val="24"/>
          <w:szCs w:val="24"/>
        </w:rPr>
        <w:t xml:space="preserve"> Pipeline transportation tariff” means the unit rate of tariff for petroleum and petroleum products pipeline (excluding statutory taxes and levies) in rupees per metric ton or in rupees per kilo liter per kilo meter for transport of petroleum and petroleum products including the impact of storage facilities essential for operating a petroleum and petroleum products pipeline system as common or contract carrier;</w:t>
      </w:r>
    </w:p>
    <w:p w14:paraId="70A73EFE" w14:textId="77777777" w:rsidR="00733C4F" w:rsidRDefault="00733C4F" w:rsidP="00733C4F">
      <w:pPr>
        <w:numPr>
          <w:ilvl w:val="0"/>
          <w:numId w:val="3"/>
        </w:numPr>
        <w:ind w:left="1560"/>
        <w:jc w:val="both"/>
        <w:rPr>
          <w:rFonts w:ascii="Times New Roman" w:hAnsi="Times New Roman"/>
          <w:sz w:val="24"/>
          <w:szCs w:val="24"/>
        </w:rPr>
      </w:pPr>
      <w:r>
        <w:rPr>
          <w:rFonts w:ascii="Times New Roman" w:hAnsi="Times New Roman"/>
          <w:sz w:val="24"/>
          <w:szCs w:val="24"/>
        </w:rPr>
        <w:t xml:space="preserve"> “tap off point (TOP)” means a facility on the pipeline from where the petroleum products are diverted into a delivery terminal or into a spur line or another pipeline which may also be called the intermediate delivery station.</w:t>
      </w:r>
    </w:p>
    <w:p w14:paraId="5B287AAD" w14:textId="77777777" w:rsidR="00733C4F" w:rsidRDefault="00733C4F" w:rsidP="00733C4F">
      <w:pPr>
        <w:numPr>
          <w:ilvl w:val="0"/>
          <w:numId w:val="4"/>
        </w:numPr>
        <w:ind w:left="1134"/>
        <w:jc w:val="both"/>
        <w:rPr>
          <w:rFonts w:ascii="Times New Roman" w:hAnsi="Times New Roman"/>
          <w:sz w:val="24"/>
          <w:szCs w:val="24"/>
        </w:rPr>
      </w:pPr>
      <w:r>
        <w:rPr>
          <w:rFonts w:ascii="Times New Roman" w:hAnsi="Times New Roman"/>
          <w:sz w:val="24"/>
          <w:szCs w:val="24"/>
        </w:rPr>
        <w:lastRenderedPageBreak/>
        <w:t>Words and expressions used and not defined in these regulations, but defined in the Act or in the rules or regulations made thereunder, shall have the meanings respectively assigned to them in the Act or in the rules or regulations, as the case may be.</w:t>
      </w:r>
    </w:p>
    <w:p w14:paraId="3AF727F9" w14:textId="77777777" w:rsidR="00733C4F" w:rsidRPr="00947138" w:rsidRDefault="00733C4F" w:rsidP="00733C4F">
      <w:pPr>
        <w:pStyle w:val="ListParagraph"/>
        <w:numPr>
          <w:ilvl w:val="0"/>
          <w:numId w:val="5"/>
        </w:numPr>
        <w:jc w:val="both"/>
        <w:rPr>
          <w:rFonts w:ascii="Times New Roman" w:hAnsi="Times New Roman"/>
          <w:b/>
          <w:sz w:val="24"/>
          <w:szCs w:val="24"/>
        </w:rPr>
      </w:pPr>
      <w:r w:rsidRPr="00947138">
        <w:rPr>
          <w:rFonts w:ascii="Times New Roman" w:hAnsi="Times New Roman"/>
          <w:b/>
          <w:sz w:val="24"/>
          <w:szCs w:val="24"/>
        </w:rPr>
        <w:t>Application</w:t>
      </w:r>
    </w:p>
    <w:p w14:paraId="36C54F3A" w14:textId="77777777" w:rsidR="00733C4F" w:rsidRDefault="00733C4F" w:rsidP="00733C4F">
      <w:pPr>
        <w:ind w:left="851"/>
        <w:jc w:val="both"/>
        <w:rPr>
          <w:rFonts w:ascii="Times New Roman" w:hAnsi="Times New Roman"/>
          <w:sz w:val="24"/>
          <w:szCs w:val="24"/>
        </w:rPr>
      </w:pPr>
      <w:r>
        <w:rPr>
          <w:rFonts w:ascii="Times New Roman" w:hAnsi="Times New Roman"/>
          <w:sz w:val="24"/>
          <w:szCs w:val="24"/>
        </w:rPr>
        <w:t>These regulations shall apply to an entity----</w:t>
      </w:r>
    </w:p>
    <w:p w14:paraId="4A7D40C2" w14:textId="77777777" w:rsidR="00733C4F" w:rsidRDefault="00733C4F" w:rsidP="00733C4F">
      <w:pPr>
        <w:pStyle w:val="ListParagraph"/>
        <w:numPr>
          <w:ilvl w:val="0"/>
          <w:numId w:val="1"/>
        </w:numPr>
        <w:ind w:left="1560"/>
        <w:jc w:val="both"/>
        <w:rPr>
          <w:rFonts w:ascii="Times New Roman" w:hAnsi="Times New Roman"/>
          <w:sz w:val="24"/>
          <w:szCs w:val="24"/>
        </w:rPr>
      </w:pPr>
      <w:r>
        <w:rPr>
          <w:rFonts w:ascii="Times New Roman" w:hAnsi="Times New Roman"/>
          <w:sz w:val="24"/>
          <w:szCs w:val="24"/>
        </w:rPr>
        <w:t>authorized by the Central Government and accepted by the Board for laying, building, operating or expanding a petroleum and petroleum products pipeline before the appointed day under the relevant regulations for authorizing entities to lay, build, operate or expand petroleum and petroleum product pipelines;</w:t>
      </w:r>
    </w:p>
    <w:p w14:paraId="422A2067" w14:textId="77777777" w:rsidR="00733C4F" w:rsidRDefault="00733C4F" w:rsidP="00733C4F">
      <w:pPr>
        <w:pStyle w:val="ListParagraph"/>
        <w:ind w:left="1560"/>
        <w:jc w:val="both"/>
        <w:rPr>
          <w:rFonts w:ascii="Times New Roman" w:hAnsi="Times New Roman"/>
          <w:sz w:val="24"/>
          <w:szCs w:val="24"/>
        </w:rPr>
      </w:pPr>
    </w:p>
    <w:p w14:paraId="6529E5A9" w14:textId="77777777" w:rsidR="00733C4F" w:rsidRDefault="00733C4F" w:rsidP="00733C4F">
      <w:pPr>
        <w:pStyle w:val="ListParagraph"/>
        <w:numPr>
          <w:ilvl w:val="0"/>
          <w:numId w:val="1"/>
        </w:numPr>
        <w:ind w:left="1560"/>
        <w:jc w:val="both"/>
        <w:rPr>
          <w:rFonts w:ascii="Times New Roman" w:hAnsi="Times New Roman"/>
          <w:sz w:val="24"/>
          <w:szCs w:val="24"/>
        </w:rPr>
      </w:pPr>
      <w:r>
        <w:rPr>
          <w:rFonts w:ascii="Times New Roman" w:hAnsi="Times New Roman"/>
          <w:sz w:val="24"/>
          <w:szCs w:val="24"/>
        </w:rPr>
        <w:t>laying building, operating or expanding a petroleum and petroleum products pipeline before the appointed day and authorized by the Board for such activities under the relevant regulations for authorizing entities to lay, build, operate or expand petroleum and petroleum product pipelines; and</w:t>
      </w:r>
    </w:p>
    <w:p w14:paraId="135C60DC" w14:textId="77777777" w:rsidR="00733C4F" w:rsidRPr="00875A1E" w:rsidRDefault="00733C4F" w:rsidP="00733C4F">
      <w:pPr>
        <w:pStyle w:val="ListParagraph"/>
        <w:rPr>
          <w:rFonts w:ascii="Times New Roman" w:hAnsi="Times New Roman"/>
          <w:sz w:val="24"/>
          <w:szCs w:val="24"/>
        </w:rPr>
      </w:pPr>
    </w:p>
    <w:p w14:paraId="59FC90F1" w14:textId="77777777" w:rsidR="00733C4F" w:rsidRPr="00875A1E" w:rsidRDefault="00733C4F" w:rsidP="00733C4F">
      <w:pPr>
        <w:pStyle w:val="ListParagraph"/>
        <w:numPr>
          <w:ilvl w:val="0"/>
          <w:numId w:val="1"/>
        </w:numPr>
        <w:ind w:left="1560"/>
        <w:jc w:val="both"/>
        <w:rPr>
          <w:rFonts w:ascii="Times New Roman" w:hAnsi="Times New Roman"/>
          <w:sz w:val="24"/>
          <w:szCs w:val="24"/>
        </w:rPr>
      </w:pPr>
      <w:r w:rsidRPr="00875A1E">
        <w:rPr>
          <w:rFonts w:ascii="Times New Roman" w:hAnsi="Times New Roman"/>
          <w:sz w:val="24"/>
          <w:szCs w:val="24"/>
        </w:rPr>
        <w:t>laying, building, operating or expanding a dedicated pipeline which is converted into a petroleum and petroleum products pipeline under the provisions of the relevant regulations for authorizing entities to lay, build, operate or expand petroleum and petroleum products pipeline.</w:t>
      </w:r>
    </w:p>
    <w:p w14:paraId="49515028" w14:textId="77777777" w:rsidR="00733C4F" w:rsidRDefault="00733C4F" w:rsidP="00733C4F">
      <w:pPr>
        <w:pStyle w:val="ListParagraph"/>
        <w:ind w:left="1560"/>
        <w:jc w:val="both"/>
        <w:rPr>
          <w:rFonts w:ascii="Times New Roman" w:hAnsi="Times New Roman"/>
          <w:sz w:val="24"/>
          <w:szCs w:val="24"/>
        </w:rPr>
      </w:pPr>
    </w:p>
    <w:p w14:paraId="4F7CE9DE" w14:textId="77777777" w:rsidR="00733C4F" w:rsidRPr="00947138" w:rsidRDefault="00733C4F" w:rsidP="00733C4F">
      <w:pPr>
        <w:pStyle w:val="ListParagraph"/>
        <w:numPr>
          <w:ilvl w:val="0"/>
          <w:numId w:val="5"/>
        </w:numPr>
        <w:spacing w:before="240" w:after="0"/>
        <w:jc w:val="both"/>
        <w:rPr>
          <w:rFonts w:ascii="Times New Roman" w:hAnsi="Times New Roman"/>
          <w:b/>
          <w:sz w:val="24"/>
          <w:szCs w:val="24"/>
        </w:rPr>
      </w:pPr>
      <w:r w:rsidRPr="00947138">
        <w:rPr>
          <w:rFonts w:ascii="Times New Roman" w:hAnsi="Times New Roman"/>
          <w:b/>
          <w:sz w:val="24"/>
          <w:szCs w:val="24"/>
        </w:rPr>
        <w:t>Determination of petroleum and petroleum products pipeline transportation tariff</w:t>
      </w:r>
    </w:p>
    <w:p w14:paraId="0624D39A" w14:textId="77777777" w:rsidR="00733C4F" w:rsidRDefault="00733C4F" w:rsidP="004516B6">
      <w:pPr>
        <w:pStyle w:val="ListParagraph"/>
        <w:spacing w:before="240" w:after="0"/>
        <w:ind w:left="360"/>
        <w:jc w:val="both"/>
        <w:rPr>
          <w:rFonts w:ascii="Times New Roman" w:hAnsi="Times New Roman"/>
          <w:b/>
          <w:sz w:val="24"/>
          <w:szCs w:val="24"/>
        </w:rPr>
      </w:pPr>
      <w:bookmarkStart w:id="0" w:name="_GoBack"/>
    </w:p>
    <w:p w14:paraId="4DD66847" w14:textId="77777777" w:rsidR="00733C4F" w:rsidRDefault="00733C4F" w:rsidP="004516B6">
      <w:pPr>
        <w:pStyle w:val="ListParagraph"/>
        <w:spacing w:before="240" w:after="0"/>
        <w:ind w:left="709"/>
        <w:jc w:val="both"/>
        <w:rPr>
          <w:rFonts w:ascii="Times New Roman" w:hAnsi="Times New Roman"/>
          <w:sz w:val="24"/>
          <w:szCs w:val="24"/>
        </w:rPr>
      </w:pPr>
      <w:r>
        <w:rPr>
          <w:rFonts w:ascii="Times New Roman" w:hAnsi="Times New Roman"/>
          <w:sz w:val="24"/>
          <w:szCs w:val="24"/>
        </w:rPr>
        <w:t>Petroleum and petroleum products pipeline tariff in respect of any entity covered under clause (1), clause (2) or clause (3) of regulation 3 shall be determined for different TOP’s as per the procedure specified in regulation 5 which shall be charged on a non-discriminatory basis:</w:t>
      </w:r>
    </w:p>
    <w:p w14:paraId="356B4183" w14:textId="77777777" w:rsidR="00733C4F" w:rsidRDefault="00733C4F" w:rsidP="004516B6">
      <w:pPr>
        <w:pStyle w:val="ListParagraph"/>
        <w:ind w:left="993"/>
        <w:jc w:val="both"/>
        <w:rPr>
          <w:rFonts w:ascii="Times New Roman" w:hAnsi="Times New Roman"/>
          <w:sz w:val="24"/>
          <w:szCs w:val="24"/>
        </w:rPr>
      </w:pPr>
    </w:p>
    <w:p w14:paraId="6EBD10A2" w14:textId="77777777" w:rsidR="00733C4F" w:rsidRDefault="00733C4F" w:rsidP="004516B6">
      <w:pPr>
        <w:pStyle w:val="ListParagraph"/>
        <w:jc w:val="both"/>
        <w:rPr>
          <w:rFonts w:ascii="Times New Roman" w:hAnsi="Times New Roman"/>
          <w:sz w:val="24"/>
          <w:szCs w:val="24"/>
        </w:rPr>
      </w:pPr>
      <w:r>
        <w:rPr>
          <w:rFonts w:ascii="Times New Roman" w:hAnsi="Times New Roman"/>
          <w:sz w:val="24"/>
          <w:szCs w:val="24"/>
        </w:rPr>
        <w:t>Provided that the petroleum and petroleum product pipeline tariff determined in accordance with the procedure specified as per regulation 5 shall be applicable as a transitional measure for a period of two years or such earlier time as the Board may decide for valid reasons to be given in writing.</w:t>
      </w:r>
    </w:p>
    <w:p w14:paraId="66341315" w14:textId="77777777" w:rsidR="00733C4F" w:rsidRDefault="00733C4F" w:rsidP="004516B6">
      <w:pPr>
        <w:pStyle w:val="ListParagraph"/>
        <w:jc w:val="both"/>
        <w:rPr>
          <w:rFonts w:ascii="Times New Roman" w:hAnsi="Times New Roman"/>
          <w:sz w:val="24"/>
          <w:szCs w:val="24"/>
        </w:rPr>
      </w:pPr>
    </w:p>
    <w:p w14:paraId="0E2A2A55" w14:textId="77777777" w:rsidR="00E8764F" w:rsidRDefault="00E8764F" w:rsidP="004516B6">
      <w:pPr>
        <w:pStyle w:val="ListParagraph"/>
        <w:jc w:val="both"/>
        <w:rPr>
          <w:rFonts w:ascii="Times New Roman" w:hAnsi="Times New Roman"/>
          <w:sz w:val="24"/>
          <w:szCs w:val="24"/>
        </w:rPr>
        <w:sectPr w:rsidR="00E8764F" w:rsidSect="002051F5">
          <w:footerReference w:type="default" r:id="rId7"/>
          <w:footnotePr>
            <w:numRestart w:val="eachPage"/>
          </w:footnotePr>
          <w:pgSz w:w="12240" w:h="15840"/>
          <w:pgMar w:top="1440" w:right="1440" w:bottom="1440" w:left="1440" w:header="720" w:footer="720" w:gutter="0"/>
          <w:cols w:space="720"/>
          <w:docGrid w:linePitch="360"/>
        </w:sectPr>
      </w:pPr>
    </w:p>
    <w:p w14:paraId="76CCECC2" w14:textId="3B6AE042" w:rsidR="00733C4F" w:rsidRDefault="00733C4F" w:rsidP="004516B6">
      <w:pPr>
        <w:pStyle w:val="ListParagraph"/>
        <w:jc w:val="both"/>
        <w:rPr>
          <w:rFonts w:ascii="Times New Roman" w:hAnsi="Times New Roman"/>
          <w:sz w:val="24"/>
          <w:szCs w:val="24"/>
        </w:rPr>
      </w:pPr>
      <w:r>
        <w:rPr>
          <w:rStyle w:val="FootnoteReference"/>
          <w:rFonts w:ascii="Times New Roman" w:hAnsi="Times New Roman"/>
          <w:sz w:val="24"/>
          <w:szCs w:val="24"/>
        </w:rPr>
        <w:lastRenderedPageBreak/>
        <w:footnoteReference w:id="1"/>
      </w:r>
      <w:r>
        <w:rPr>
          <w:rFonts w:ascii="Times New Roman" w:hAnsi="Times New Roman"/>
          <w:sz w:val="24"/>
          <w:szCs w:val="24"/>
        </w:rPr>
        <w:t>[Provided further that the transitional period may be extended for another two years or lesser period as the Board may decide for valid reasons to be given in writing.]</w:t>
      </w:r>
    </w:p>
    <w:p w14:paraId="2EA3D067" w14:textId="77777777" w:rsidR="00733C4F" w:rsidRDefault="00733C4F" w:rsidP="004516B6">
      <w:pPr>
        <w:pStyle w:val="ListParagraph"/>
        <w:jc w:val="both"/>
        <w:rPr>
          <w:rFonts w:ascii="Times New Roman" w:hAnsi="Times New Roman"/>
          <w:sz w:val="24"/>
          <w:szCs w:val="24"/>
        </w:rPr>
      </w:pPr>
      <w:r>
        <w:rPr>
          <w:rStyle w:val="FootnoteReference"/>
          <w:rFonts w:ascii="Times New Roman" w:hAnsi="Times New Roman"/>
          <w:sz w:val="24"/>
          <w:szCs w:val="24"/>
        </w:rPr>
        <w:lastRenderedPageBreak/>
        <w:footnoteReference w:id="2"/>
      </w:r>
      <w:r>
        <w:rPr>
          <w:rFonts w:ascii="Times New Roman" w:hAnsi="Times New Roman"/>
          <w:sz w:val="24"/>
          <w:szCs w:val="24"/>
        </w:rPr>
        <w:t>[Provid</w:t>
      </w:r>
      <w:r>
        <w:rPr>
          <w:rFonts w:ascii="Times New Roman" w:hAnsi="Times New Roman"/>
          <w:spacing w:val="-1"/>
          <w:sz w:val="24"/>
          <w:szCs w:val="24"/>
        </w:rPr>
        <w:t>e</w:t>
      </w:r>
      <w:r>
        <w:rPr>
          <w:rFonts w:ascii="Times New Roman" w:hAnsi="Times New Roman"/>
          <w:sz w:val="24"/>
          <w:szCs w:val="24"/>
        </w:rPr>
        <w:t>d also that the transitio</w:t>
      </w:r>
      <w:r>
        <w:rPr>
          <w:rFonts w:ascii="Times New Roman" w:hAnsi="Times New Roman"/>
          <w:spacing w:val="-1"/>
          <w:sz w:val="24"/>
          <w:szCs w:val="24"/>
        </w:rPr>
        <w:t>n</w:t>
      </w:r>
      <w:r>
        <w:rPr>
          <w:rFonts w:ascii="Times New Roman" w:hAnsi="Times New Roman"/>
          <w:sz w:val="24"/>
          <w:szCs w:val="24"/>
        </w:rPr>
        <w:t>al per</w:t>
      </w:r>
      <w:r>
        <w:rPr>
          <w:rFonts w:ascii="Times New Roman" w:hAnsi="Times New Roman"/>
          <w:spacing w:val="-1"/>
          <w:sz w:val="24"/>
          <w:szCs w:val="24"/>
        </w:rPr>
        <w:t>i</w:t>
      </w:r>
      <w:r>
        <w:rPr>
          <w:rFonts w:ascii="Times New Roman" w:hAnsi="Times New Roman"/>
          <w:sz w:val="24"/>
          <w:szCs w:val="24"/>
        </w:rPr>
        <w:t>od may, aft</w:t>
      </w:r>
      <w:r>
        <w:rPr>
          <w:rFonts w:ascii="Times New Roman" w:hAnsi="Times New Roman"/>
          <w:spacing w:val="1"/>
          <w:sz w:val="24"/>
          <w:szCs w:val="24"/>
        </w:rPr>
        <w:t>e</w:t>
      </w:r>
      <w:r>
        <w:rPr>
          <w:rFonts w:ascii="Times New Roman" w:hAnsi="Times New Roman"/>
          <w:sz w:val="24"/>
          <w:szCs w:val="24"/>
        </w:rPr>
        <w:t>r the complet</w:t>
      </w:r>
      <w:r>
        <w:rPr>
          <w:rFonts w:ascii="Times New Roman" w:hAnsi="Times New Roman"/>
          <w:spacing w:val="-1"/>
          <w:sz w:val="24"/>
          <w:szCs w:val="24"/>
        </w:rPr>
        <w:t>i</w:t>
      </w:r>
      <w:r>
        <w:rPr>
          <w:rFonts w:ascii="Times New Roman" w:hAnsi="Times New Roman"/>
          <w:sz w:val="24"/>
          <w:szCs w:val="24"/>
        </w:rPr>
        <w:t>on of the extend</w:t>
      </w:r>
      <w:r>
        <w:rPr>
          <w:rFonts w:ascii="Times New Roman" w:hAnsi="Times New Roman"/>
          <w:spacing w:val="-1"/>
          <w:sz w:val="24"/>
          <w:szCs w:val="24"/>
        </w:rPr>
        <w:t>e</w:t>
      </w:r>
      <w:r>
        <w:rPr>
          <w:rFonts w:ascii="Times New Roman" w:hAnsi="Times New Roman"/>
          <w:sz w:val="24"/>
          <w:szCs w:val="24"/>
        </w:rPr>
        <w:t>d tra</w:t>
      </w:r>
      <w:r>
        <w:rPr>
          <w:rFonts w:ascii="Times New Roman" w:hAnsi="Times New Roman"/>
          <w:spacing w:val="-1"/>
          <w:sz w:val="24"/>
          <w:szCs w:val="24"/>
        </w:rPr>
        <w:t>n</w:t>
      </w:r>
      <w:r>
        <w:rPr>
          <w:rFonts w:ascii="Times New Roman" w:hAnsi="Times New Roman"/>
          <w:sz w:val="24"/>
          <w:szCs w:val="24"/>
        </w:rPr>
        <w:t>sition per</w:t>
      </w:r>
      <w:r>
        <w:rPr>
          <w:rFonts w:ascii="Times New Roman" w:hAnsi="Times New Roman"/>
          <w:spacing w:val="-1"/>
          <w:sz w:val="24"/>
          <w:szCs w:val="24"/>
        </w:rPr>
        <w:t>i</w:t>
      </w:r>
      <w:r>
        <w:rPr>
          <w:rFonts w:ascii="Times New Roman" w:hAnsi="Times New Roman"/>
          <w:sz w:val="24"/>
          <w:szCs w:val="24"/>
        </w:rPr>
        <w:t xml:space="preserve">od </w:t>
      </w:r>
      <w:r>
        <w:rPr>
          <w:rFonts w:ascii="Times New Roman" w:hAnsi="Times New Roman"/>
          <w:spacing w:val="-1"/>
          <w:sz w:val="24"/>
          <w:szCs w:val="24"/>
        </w:rPr>
        <w:t>o</w:t>
      </w:r>
      <w:r>
        <w:rPr>
          <w:rFonts w:ascii="Times New Roman" w:hAnsi="Times New Roman"/>
          <w:sz w:val="24"/>
          <w:szCs w:val="24"/>
        </w:rPr>
        <w:t>f two years, be further exte</w:t>
      </w:r>
      <w:r>
        <w:rPr>
          <w:rFonts w:ascii="Times New Roman" w:hAnsi="Times New Roman"/>
          <w:spacing w:val="-1"/>
          <w:sz w:val="24"/>
          <w:szCs w:val="24"/>
        </w:rPr>
        <w:t>n</w:t>
      </w:r>
      <w:r>
        <w:rPr>
          <w:rFonts w:ascii="Times New Roman" w:hAnsi="Times New Roman"/>
          <w:sz w:val="24"/>
          <w:szCs w:val="24"/>
        </w:rPr>
        <w:t>ded for a</w:t>
      </w:r>
      <w:r>
        <w:rPr>
          <w:rFonts w:ascii="Times New Roman" w:hAnsi="Times New Roman"/>
          <w:spacing w:val="-1"/>
          <w:sz w:val="24"/>
          <w:szCs w:val="24"/>
        </w:rPr>
        <w:t>n</w:t>
      </w:r>
      <w:r>
        <w:rPr>
          <w:rFonts w:ascii="Times New Roman" w:hAnsi="Times New Roman"/>
          <w:sz w:val="24"/>
          <w:szCs w:val="24"/>
        </w:rPr>
        <w:t>ot</w:t>
      </w:r>
      <w:r>
        <w:rPr>
          <w:rFonts w:ascii="Times New Roman" w:hAnsi="Times New Roman"/>
          <w:spacing w:val="-1"/>
          <w:sz w:val="24"/>
          <w:szCs w:val="24"/>
        </w:rPr>
        <w:t>h</w:t>
      </w:r>
      <w:r>
        <w:rPr>
          <w:rFonts w:ascii="Times New Roman" w:hAnsi="Times New Roman"/>
          <w:sz w:val="24"/>
          <w:szCs w:val="24"/>
        </w:rPr>
        <w:t>er two y</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rs or less</w:t>
      </w:r>
      <w:r>
        <w:rPr>
          <w:rFonts w:ascii="Times New Roman" w:hAnsi="Times New Roman"/>
          <w:spacing w:val="-1"/>
          <w:sz w:val="24"/>
          <w:szCs w:val="24"/>
        </w:rPr>
        <w:t>e</w:t>
      </w:r>
      <w:r>
        <w:rPr>
          <w:rFonts w:ascii="Times New Roman" w:hAnsi="Times New Roman"/>
          <w:sz w:val="24"/>
          <w:szCs w:val="24"/>
        </w:rPr>
        <w:t>r 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i</w:t>
      </w:r>
      <w:r>
        <w:rPr>
          <w:rFonts w:ascii="Times New Roman" w:hAnsi="Times New Roman"/>
          <w:sz w:val="24"/>
          <w:szCs w:val="24"/>
        </w:rPr>
        <w:t>od as the B</w:t>
      </w:r>
      <w:r>
        <w:rPr>
          <w:rFonts w:ascii="Times New Roman" w:hAnsi="Times New Roman"/>
          <w:spacing w:val="-1"/>
          <w:sz w:val="24"/>
          <w:szCs w:val="24"/>
        </w:rPr>
        <w:t>o</w:t>
      </w:r>
      <w:r>
        <w:rPr>
          <w:rFonts w:ascii="Times New Roman" w:hAnsi="Times New Roman"/>
          <w:sz w:val="24"/>
          <w:szCs w:val="24"/>
        </w:rPr>
        <w:t>ard may d</w:t>
      </w:r>
      <w:r>
        <w:rPr>
          <w:rFonts w:ascii="Times New Roman" w:hAnsi="Times New Roman"/>
          <w:spacing w:val="-1"/>
          <w:sz w:val="24"/>
          <w:szCs w:val="24"/>
        </w:rPr>
        <w:t>e</w:t>
      </w:r>
      <w:r>
        <w:rPr>
          <w:rFonts w:ascii="Times New Roman" w:hAnsi="Times New Roman"/>
          <w:sz w:val="24"/>
          <w:szCs w:val="24"/>
        </w:rPr>
        <w:t>c</w:t>
      </w:r>
      <w:r>
        <w:rPr>
          <w:rFonts w:ascii="Times New Roman" w:hAnsi="Times New Roman"/>
          <w:spacing w:val="-1"/>
          <w:sz w:val="24"/>
          <w:szCs w:val="24"/>
        </w:rPr>
        <w:t>i</w:t>
      </w:r>
      <w:r>
        <w:rPr>
          <w:rFonts w:ascii="Times New Roman" w:hAnsi="Times New Roman"/>
          <w:sz w:val="24"/>
          <w:szCs w:val="24"/>
        </w:rPr>
        <w:t>de;]</w:t>
      </w:r>
    </w:p>
    <w:p w14:paraId="5D7ED80F" w14:textId="77777777" w:rsidR="00733C4F" w:rsidRDefault="00733C4F" w:rsidP="004516B6">
      <w:pPr>
        <w:pStyle w:val="ListParagraph"/>
        <w:jc w:val="both"/>
        <w:rPr>
          <w:rFonts w:ascii="Times New Roman" w:hAnsi="Times New Roman"/>
          <w:sz w:val="24"/>
          <w:szCs w:val="24"/>
        </w:rPr>
      </w:pPr>
    </w:p>
    <w:p w14:paraId="66338CB7" w14:textId="77777777" w:rsidR="00733C4F" w:rsidRDefault="00733C4F" w:rsidP="004516B6">
      <w:pPr>
        <w:pStyle w:val="ListParagraph"/>
        <w:jc w:val="both"/>
        <w:rPr>
          <w:rFonts w:ascii="Times New Roman" w:hAnsi="Times New Roman"/>
          <w:sz w:val="24"/>
          <w:szCs w:val="24"/>
        </w:rPr>
      </w:pPr>
      <w:r>
        <w:rPr>
          <w:rStyle w:val="FootnoteReference"/>
          <w:rFonts w:ascii="Times New Roman" w:hAnsi="Times New Roman"/>
          <w:sz w:val="24"/>
          <w:szCs w:val="24"/>
        </w:rPr>
        <w:footnoteReference w:id="3"/>
      </w:r>
      <w:r>
        <w:rPr>
          <w:rFonts w:ascii="Times New Roman" w:hAnsi="Times New Roman"/>
          <w:sz w:val="24"/>
          <w:szCs w:val="24"/>
        </w:rPr>
        <w:t>[</w:t>
      </w:r>
      <w:r w:rsidRPr="00CB0201">
        <w:rPr>
          <w:rFonts w:ascii="Times New Roman" w:hAnsi="Times New Roman"/>
          <w:sz w:val="24"/>
          <w:szCs w:val="24"/>
        </w:rPr>
        <w:t>Provided also that the transitional period may, after the completion of the extended transition period of two years, be further extended for another one year   or lesser period as the Board may decide.</w:t>
      </w:r>
      <w:r>
        <w:rPr>
          <w:rFonts w:ascii="Times New Roman" w:hAnsi="Times New Roman"/>
          <w:sz w:val="24"/>
          <w:szCs w:val="24"/>
        </w:rPr>
        <w:t>]</w:t>
      </w:r>
    </w:p>
    <w:p w14:paraId="62AA3D71" w14:textId="77777777" w:rsidR="00733C4F" w:rsidRDefault="00733C4F" w:rsidP="004516B6">
      <w:pPr>
        <w:ind w:left="720"/>
        <w:jc w:val="both"/>
        <w:rPr>
          <w:rFonts w:ascii="Times New Roman" w:hAnsi="Times New Roman"/>
          <w:sz w:val="24"/>
          <w:szCs w:val="24"/>
        </w:rPr>
      </w:pPr>
      <w:r>
        <w:rPr>
          <w:rStyle w:val="FootnoteReference"/>
          <w:rFonts w:ascii="Times New Roman" w:hAnsi="Times New Roman"/>
          <w:sz w:val="24"/>
          <w:szCs w:val="24"/>
        </w:rPr>
        <w:footnoteReference w:id="4"/>
      </w:r>
      <w:r>
        <w:rPr>
          <w:rFonts w:ascii="Times New Roman" w:hAnsi="Times New Roman"/>
          <w:sz w:val="24"/>
          <w:szCs w:val="24"/>
        </w:rPr>
        <w:t>[</w:t>
      </w:r>
      <w:r w:rsidRPr="0073414C">
        <w:rPr>
          <w:rFonts w:ascii="Times New Roman" w:hAnsi="Times New Roman"/>
          <w:sz w:val="24"/>
          <w:szCs w:val="24"/>
        </w:rPr>
        <w:t>Provided also that the transitional period may, after the completion of the extended transition period of one year, be further extended up to 19.12.2018 or any other period as the Board may decide.</w:t>
      </w:r>
      <w:r>
        <w:rPr>
          <w:rFonts w:ascii="Times New Roman" w:hAnsi="Times New Roman"/>
          <w:sz w:val="24"/>
          <w:szCs w:val="24"/>
        </w:rPr>
        <w:t>]</w:t>
      </w:r>
    </w:p>
    <w:p w14:paraId="380406A5" w14:textId="77777777" w:rsidR="00733C4F" w:rsidRDefault="00733C4F" w:rsidP="004516B6">
      <w:pPr>
        <w:ind w:left="720"/>
        <w:jc w:val="both"/>
        <w:rPr>
          <w:rFonts w:ascii="Times New Roman" w:hAnsi="Times New Roman"/>
          <w:bCs/>
          <w:sz w:val="24"/>
          <w:szCs w:val="24"/>
        </w:rPr>
      </w:pPr>
      <w:r>
        <w:rPr>
          <w:rStyle w:val="FootnoteReference"/>
          <w:rFonts w:ascii="Times New Roman" w:hAnsi="Times New Roman"/>
          <w:bCs/>
          <w:sz w:val="24"/>
          <w:szCs w:val="24"/>
        </w:rPr>
        <w:footnoteReference w:id="5"/>
      </w:r>
      <w:r w:rsidRPr="00731F05">
        <w:rPr>
          <w:rFonts w:ascii="Times New Roman" w:hAnsi="Times New Roman"/>
          <w:bCs/>
          <w:sz w:val="24"/>
          <w:szCs w:val="24"/>
        </w:rPr>
        <w:t>[Provided also that the transitional period may, after the completion of the extended transition period of one year, be further extended up to 31.03.2019.]</w:t>
      </w:r>
    </w:p>
    <w:p w14:paraId="0D7FC5AE" w14:textId="77777777" w:rsidR="00733C4F" w:rsidRDefault="00733C4F" w:rsidP="004516B6">
      <w:pPr>
        <w:ind w:left="720"/>
        <w:jc w:val="both"/>
        <w:rPr>
          <w:rFonts w:ascii="Times New Roman" w:hAnsi="Times New Roman"/>
          <w:bCs/>
          <w:sz w:val="24"/>
          <w:szCs w:val="24"/>
        </w:rPr>
      </w:pPr>
      <w:r>
        <w:rPr>
          <w:rStyle w:val="FootnoteReference"/>
          <w:rFonts w:ascii="Times New Roman" w:hAnsi="Times New Roman"/>
          <w:bCs/>
          <w:sz w:val="24"/>
          <w:szCs w:val="24"/>
        </w:rPr>
        <w:footnoteReference w:id="6"/>
      </w:r>
      <w:r>
        <w:rPr>
          <w:rFonts w:ascii="Times New Roman" w:hAnsi="Times New Roman"/>
          <w:bCs/>
          <w:sz w:val="24"/>
          <w:szCs w:val="24"/>
        </w:rPr>
        <w:t>[</w:t>
      </w:r>
      <w:r w:rsidRPr="004E16E3">
        <w:rPr>
          <w:rFonts w:ascii="Times New Roman" w:hAnsi="Times New Roman"/>
          <w:bCs/>
          <w:sz w:val="24"/>
          <w:szCs w:val="24"/>
        </w:rPr>
        <w:t>Provided also that the transitional period may, after the completion of the extended transition period till 31.03.2019, be further extended up to 31.12.2019.</w:t>
      </w:r>
      <w:r>
        <w:rPr>
          <w:rFonts w:ascii="Times New Roman" w:hAnsi="Times New Roman"/>
          <w:bCs/>
          <w:sz w:val="24"/>
          <w:szCs w:val="24"/>
        </w:rPr>
        <w:t>]</w:t>
      </w:r>
    </w:p>
    <w:p w14:paraId="79CF609A" w14:textId="77777777" w:rsidR="00733C4F" w:rsidRDefault="00733C4F" w:rsidP="004516B6">
      <w:pPr>
        <w:ind w:left="720"/>
        <w:jc w:val="both"/>
        <w:rPr>
          <w:rFonts w:ascii="Times New Roman" w:hAnsi="Times New Roman"/>
          <w:bCs/>
          <w:sz w:val="24"/>
          <w:szCs w:val="24"/>
        </w:rPr>
      </w:pPr>
      <w:r w:rsidRPr="000F4216">
        <w:rPr>
          <w:rStyle w:val="FootnoteReference"/>
          <w:rFonts w:ascii="Times New Roman" w:hAnsi="Times New Roman"/>
          <w:bCs/>
          <w:sz w:val="24"/>
          <w:szCs w:val="24"/>
        </w:rPr>
        <w:footnoteReference w:id="7"/>
      </w:r>
      <w:r w:rsidRPr="000F4216">
        <w:rPr>
          <w:rFonts w:ascii="Times New Roman" w:hAnsi="Times New Roman"/>
          <w:bCs/>
          <w:sz w:val="24"/>
          <w:szCs w:val="24"/>
        </w:rPr>
        <w:t>[</w:t>
      </w:r>
      <w:r w:rsidRPr="000F4216">
        <w:rPr>
          <w:rFonts w:ascii="Times New Roman" w:hAnsi="Times New Roman"/>
          <w:sz w:val="24"/>
          <w:szCs w:val="24"/>
        </w:rPr>
        <w:t>Provided also that the transitional period may, after the completion of the extended transition period till 31.12.2019, be further extended up to 31.03.2020.</w:t>
      </w:r>
      <w:r w:rsidRPr="000F4216">
        <w:rPr>
          <w:rFonts w:ascii="Times New Roman" w:hAnsi="Times New Roman"/>
          <w:bCs/>
          <w:sz w:val="24"/>
          <w:szCs w:val="24"/>
        </w:rPr>
        <w:t>]</w:t>
      </w:r>
    </w:p>
    <w:p w14:paraId="23B9DD39" w14:textId="77777777" w:rsidR="00733C4F" w:rsidRDefault="00733C4F" w:rsidP="004516B6">
      <w:pPr>
        <w:ind w:left="720"/>
        <w:jc w:val="both"/>
        <w:rPr>
          <w:rFonts w:ascii="Times New Roman" w:hAnsi="Times New Roman"/>
          <w:bCs/>
          <w:sz w:val="24"/>
          <w:szCs w:val="24"/>
        </w:rPr>
      </w:pPr>
      <w:r>
        <w:rPr>
          <w:rStyle w:val="FootnoteReference"/>
          <w:rFonts w:ascii="Times New Roman" w:hAnsi="Times New Roman"/>
          <w:bCs/>
          <w:sz w:val="24"/>
          <w:szCs w:val="24"/>
        </w:rPr>
        <w:footnoteReference w:id="8"/>
      </w:r>
      <w:r w:rsidRPr="00873EB2">
        <w:rPr>
          <w:rFonts w:ascii="Times New Roman" w:hAnsi="Times New Roman"/>
          <w:bCs/>
          <w:sz w:val="24"/>
          <w:szCs w:val="24"/>
        </w:rPr>
        <w:t>[</w:t>
      </w:r>
      <w:r w:rsidRPr="00873EB2">
        <w:rPr>
          <w:rFonts w:ascii="Times New Roman" w:hAnsi="Times New Roman"/>
          <w:sz w:val="24"/>
          <w:szCs w:val="24"/>
        </w:rPr>
        <w:t>Provided also that the transitional period may on the completion of extended transition period till 31.03.2020, be further extended up to, and inclusive of, 31.06.2020</w:t>
      </w:r>
      <w:r w:rsidRPr="00873EB2">
        <w:rPr>
          <w:rFonts w:ascii="Times New Roman" w:hAnsi="Times New Roman"/>
          <w:bCs/>
          <w:sz w:val="24"/>
          <w:szCs w:val="24"/>
        </w:rPr>
        <w:t>]</w:t>
      </w:r>
    </w:p>
    <w:p w14:paraId="2C688F20" w14:textId="7F0EE011" w:rsidR="00733C4F" w:rsidRDefault="00733C4F" w:rsidP="004516B6">
      <w:pPr>
        <w:ind w:left="720"/>
        <w:jc w:val="both"/>
        <w:rPr>
          <w:rFonts w:ascii="Times New Roman" w:hAnsi="Times New Roman"/>
          <w:sz w:val="24"/>
          <w:szCs w:val="24"/>
        </w:rPr>
      </w:pPr>
      <w:r>
        <w:rPr>
          <w:rStyle w:val="FootnoteReference"/>
          <w:rFonts w:ascii="Times New Roman" w:hAnsi="Times New Roman"/>
          <w:bCs/>
          <w:sz w:val="24"/>
          <w:szCs w:val="24"/>
        </w:rPr>
        <w:footnoteReference w:id="9"/>
      </w:r>
      <w:r>
        <w:rPr>
          <w:rFonts w:ascii="Times New Roman" w:hAnsi="Times New Roman"/>
          <w:bCs/>
          <w:sz w:val="24"/>
          <w:szCs w:val="24"/>
        </w:rPr>
        <w:t>[</w:t>
      </w:r>
      <w:r w:rsidRPr="00B51242">
        <w:rPr>
          <w:rFonts w:ascii="Times New Roman" w:hAnsi="Times New Roman"/>
          <w:sz w:val="24"/>
          <w:szCs w:val="24"/>
        </w:rPr>
        <w:t>Provided also that the transitional period may on the completion of the extended transition period till 30.06.2020, be further extended up to, and inclusive of, 30.09.2020]</w:t>
      </w:r>
    </w:p>
    <w:bookmarkEnd w:id="0"/>
    <w:p w14:paraId="78B6EB1A" w14:textId="4D509A20" w:rsidR="00733C4F" w:rsidRDefault="00733C4F" w:rsidP="004516B6">
      <w:pPr>
        <w:ind w:left="720"/>
        <w:jc w:val="both"/>
        <w:rPr>
          <w:rFonts w:ascii="Times New Roman" w:hAnsi="Times New Roman"/>
        </w:rPr>
      </w:pPr>
      <w:r>
        <w:rPr>
          <w:rStyle w:val="FootnoteReference"/>
          <w:rFonts w:ascii="Times New Roman" w:hAnsi="Times New Roman"/>
        </w:rPr>
        <w:lastRenderedPageBreak/>
        <w:footnoteReference w:id="10"/>
      </w:r>
      <w:r>
        <w:rPr>
          <w:rFonts w:ascii="Times New Roman" w:hAnsi="Times New Roman"/>
        </w:rPr>
        <w:t>[</w:t>
      </w:r>
      <w:r w:rsidRPr="001D09DD">
        <w:rPr>
          <w:rFonts w:ascii="Times New Roman" w:hAnsi="Times New Roman"/>
        </w:rPr>
        <w:t>Provided also that the transitional period may</w:t>
      </w:r>
      <w:r>
        <w:rPr>
          <w:rFonts w:ascii="Times New Roman" w:hAnsi="Times New Roman"/>
        </w:rPr>
        <w:t xml:space="preserve"> on </w:t>
      </w:r>
      <w:r w:rsidRPr="001D09DD">
        <w:rPr>
          <w:rFonts w:ascii="Times New Roman" w:hAnsi="Times New Roman"/>
        </w:rPr>
        <w:t xml:space="preserve">the completion of the extended </w:t>
      </w:r>
      <w:r w:rsidRPr="0043017A">
        <w:rPr>
          <w:rFonts w:ascii="Times New Roman" w:hAnsi="Times New Roman"/>
        </w:rPr>
        <w:t xml:space="preserve">transition period till </w:t>
      </w:r>
      <w:r>
        <w:rPr>
          <w:rFonts w:ascii="Times New Roman" w:hAnsi="Times New Roman"/>
        </w:rPr>
        <w:t>30.09</w:t>
      </w:r>
      <w:r w:rsidRPr="0043017A">
        <w:rPr>
          <w:rFonts w:ascii="Times New Roman" w:hAnsi="Times New Roman"/>
        </w:rPr>
        <w:t>.2020, be further extended up to</w:t>
      </w:r>
      <w:r>
        <w:rPr>
          <w:rFonts w:ascii="Times New Roman" w:hAnsi="Times New Roman"/>
        </w:rPr>
        <w:t>, and inclusive of,</w:t>
      </w:r>
      <w:r w:rsidRPr="0043017A">
        <w:rPr>
          <w:rFonts w:ascii="Times New Roman" w:hAnsi="Times New Roman"/>
        </w:rPr>
        <w:t xml:space="preserve"> </w:t>
      </w:r>
      <w:r>
        <w:rPr>
          <w:rFonts w:ascii="Times New Roman" w:hAnsi="Times New Roman"/>
        </w:rPr>
        <w:t>30.09</w:t>
      </w:r>
      <w:r w:rsidRPr="0043017A">
        <w:rPr>
          <w:rFonts w:ascii="Times New Roman" w:hAnsi="Times New Roman"/>
        </w:rPr>
        <w:t>.202</w:t>
      </w:r>
      <w:r>
        <w:rPr>
          <w:rFonts w:ascii="Times New Roman" w:hAnsi="Times New Roman"/>
        </w:rPr>
        <w:t>1]</w:t>
      </w:r>
    </w:p>
    <w:p w14:paraId="2835A733" w14:textId="4EFC1C68" w:rsidR="00FC2351" w:rsidRDefault="00FC2351" w:rsidP="004516B6">
      <w:pPr>
        <w:autoSpaceDE w:val="0"/>
        <w:autoSpaceDN w:val="0"/>
        <w:adjustRightInd w:val="0"/>
        <w:spacing w:after="0" w:line="240" w:lineRule="auto"/>
        <w:ind w:left="709"/>
        <w:jc w:val="both"/>
        <w:rPr>
          <w:rFonts w:ascii="Times New Roman" w:hAnsi="Times New Roman"/>
        </w:rPr>
      </w:pPr>
      <w:r>
        <w:rPr>
          <w:rStyle w:val="FootnoteReference"/>
          <w:rFonts w:ascii="Times New Roman" w:hAnsi="Times New Roman"/>
        </w:rPr>
        <w:footnoteReference w:id="11"/>
      </w:r>
      <w:r>
        <w:rPr>
          <w:rFonts w:ascii="Times New Roman" w:hAnsi="Times New Roman"/>
        </w:rPr>
        <w:t>[</w:t>
      </w:r>
      <w:r w:rsidRPr="00FC2351">
        <w:rPr>
          <w:rFonts w:ascii="Times New Roman" w:hAnsi="Times New Roman"/>
        </w:rPr>
        <w:t>Provided also that the transitional period may on the completion of the extended transition period till</w:t>
      </w:r>
      <w:r>
        <w:rPr>
          <w:rFonts w:ascii="Times New Roman" w:hAnsi="Times New Roman"/>
        </w:rPr>
        <w:t xml:space="preserve"> </w:t>
      </w:r>
      <w:r w:rsidRPr="00FC2351">
        <w:rPr>
          <w:rFonts w:ascii="Times New Roman" w:hAnsi="Times New Roman"/>
        </w:rPr>
        <w:t>30.09.2021, be further extended up t</w:t>
      </w:r>
      <w:r>
        <w:rPr>
          <w:rFonts w:ascii="Times New Roman" w:hAnsi="Times New Roman"/>
        </w:rPr>
        <w:t>o, and inclusive of, 30.09.2023]</w:t>
      </w:r>
    </w:p>
    <w:p w14:paraId="38DAB0AD" w14:textId="61F4855B" w:rsidR="002B425F" w:rsidRDefault="002B425F" w:rsidP="004516B6">
      <w:pPr>
        <w:autoSpaceDE w:val="0"/>
        <w:autoSpaceDN w:val="0"/>
        <w:adjustRightInd w:val="0"/>
        <w:spacing w:after="0" w:line="240" w:lineRule="auto"/>
        <w:ind w:left="709"/>
        <w:jc w:val="both"/>
        <w:rPr>
          <w:rFonts w:ascii="Times New Roman" w:hAnsi="Times New Roman"/>
        </w:rPr>
      </w:pPr>
    </w:p>
    <w:p w14:paraId="7CACEDAA" w14:textId="0111EFB2" w:rsidR="002B425F" w:rsidRDefault="002B425F" w:rsidP="004516B6">
      <w:pPr>
        <w:autoSpaceDE w:val="0"/>
        <w:autoSpaceDN w:val="0"/>
        <w:adjustRightInd w:val="0"/>
        <w:spacing w:after="0" w:line="240" w:lineRule="auto"/>
        <w:ind w:left="709"/>
        <w:jc w:val="both"/>
        <w:rPr>
          <w:rFonts w:ascii="Times New Roman" w:hAnsi="Times New Roman"/>
        </w:rPr>
      </w:pPr>
      <w:r>
        <w:rPr>
          <w:rStyle w:val="FootnoteReference"/>
          <w:rFonts w:ascii="Times New Roman" w:hAnsi="Times New Roman"/>
        </w:rPr>
        <w:footnoteReference w:id="12"/>
      </w:r>
      <w:r>
        <w:rPr>
          <w:rFonts w:ascii="Times New Roman" w:hAnsi="Times New Roman"/>
        </w:rPr>
        <w:t>[</w:t>
      </w:r>
      <w:r w:rsidRPr="002B425F">
        <w:rPr>
          <w:rFonts w:ascii="Times New Roman" w:hAnsi="Times New Roman"/>
        </w:rPr>
        <w:t>Provided also that the transitional period may on the completion of the extended transition period till</w:t>
      </w:r>
      <w:r>
        <w:rPr>
          <w:rFonts w:ascii="Times New Roman" w:hAnsi="Times New Roman"/>
        </w:rPr>
        <w:t xml:space="preserve"> </w:t>
      </w:r>
      <w:r w:rsidRPr="002B425F">
        <w:rPr>
          <w:rFonts w:ascii="Times New Roman" w:hAnsi="Times New Roman"/>
        </w:rPr>
        <w:t>30.09.2023, be further extended up to, and inclusive of, 31.12.2023</w:t>
      </w:r>
      <w:r>
        <w:rPr>
          <w:rFonts w:ascii="Times New Roman" w:hAnsi="Times New Roman"/>
        </w:rPr>
        <w:t>]</w:t>
      </w:r>
    </w:p>
    <w:p w14:paraId="6D7D20B6" w14:textId="77777777" w:rsidR="00C1255A" w:rsidRPr="00FC2351" w:rsidRDefault="00C1255A" w:rsidP="00FC2351">
      <w:pPr>
        <w:autoSpaceDE w:val="0"/>
        <w:autoSpaceDN w:val="0"/>
        <w:adjustRightInd w:val="0"/>
        <w:spacing w:after="0" w:line="240" w:lineRule="auto"/>
        <w:ind w:left="709"/>
        <w:rPr>
          <w:rFonts w:ascii="Times New Roman" w:hAnsi="Times New Roman"/>
        </w:rPr>
      </w:pPr>
    </w:p>
    <w:p w14:paraId="42479A0A" w14:textId="77777777" w:rsidR="00733C4F" w:rsidRPr="00947138" w:rsidRDefault="00733C4F" w:rsidP="00733C4F">
      <w:pPr>
        <w:pStyle w:val="ListParagraph"/>
        <w:numPr>
          <w:ilvl w:val="0"/>
          <w:numId w:val="5"/>
        </w:numPr>
        <w:jc w:val="both"/>
        <w:rPr>
          <w:rFonts w:ascii="Times New Roman" w:hAnsi="Times New Roman"/>
          <w:b/>
          <w:sz w:val="24"/>
          <w:szCs w:val="24"/>
        </w:rPr>
      </w:pPr>
      <w:r w:rsidRPr="00947138">
        <w:rPr>
          <w:rFonts w:ascii="Times New Roman" w:hAnsi="Times New Roman"/>
          <w:b/>
          <w:sz w:val="24"/>
          <w:szCs w:val="24"/>
        </w:rPr>
        <w:t>Procedure for determination of petroleum and petroleum products pipeline transportation tariff</w:t>
      </w:r>
    </w:p>
    <w:p w14:paraId="4FED3C30" w14:textId="77777777" w:rsidR="00733C4F" w:rsidRDefault="00733C4F" w:rsidP="00733C4F">
      <w:pPr>
        <w:ind w:left="709"/>
        <w:jc w:val="both"/>
        <w:rPr>
          <w:rFonts w:ascii="Times New Roman" w:hAnsi="Times New Roman"/>
          <w:sz w:val="24"/>
          <w:szCs w:val="24"/>
        </w:rPr>
      </w:pPr>
      <w:r>
        <w:rPr>
          <w:rFonts w:ascii="Times New Roman" w:hAnsi="Times New Roman"/>
          <w:sz w:val="24"/>
          <w:szCs w:val="24"/>
        </w:rPr>
        <w:t>Petroleum and petroleum products pipeline transportation tariff shall be determined by benchmarking against alternate mode of transport, that is, rail at a level of seventy-five per cent except LPG where it will be one hundred per cent on a train load basis for equivalent rail distance along the petroleum and petroleum product pipeline route.</w:t>
      </w:r>
    </w:p>
    <w:p w14:paraId="5B2ACD03" w14:textId="77777777" w:rsidR="00733C4F" w:rsidRDefault="00733C4F" w:rsidP="00733C4F">
      <w:pPr>
        <w:ind w:left="720"/>
        <w:jc w:val="both"/>
        <w:rPr>
          <w:rFonts w:ascii="Times New Roman" w:hAnsi="Times New Roman"/>
          <w:sz w:val="24"/>
          <w:szCs w:val="24"/>
        </w:rPr>
      </w:pPr>
      <w:r>
        <w:rPr>
          <w:rStyle w:val="FootnoteReference"/>
          <w:rFonts w:ascii="Times New Roman" w:hAnsi="Times New Roman"/>
          <w:sz w:val="24"/>
          <w:szCs w:val="24"/>
        </w:rPr>
        <w:footnoteReference w:id="13"/>
      </w:r>
      <w:r>
        <w:rPr>
          <w:rFonts w:ascii="Times New Roman" w:hAnsi="Times New Roman"/>
          <w:sz w:val="24"/>
          <w:szCs w:val="24"/>
        </w:rPr>
        <w:t>[Provided that the determination of the petroleum and petroleum product pipeline transportation tariff shall be benchmarked against the goods tariff table of the railways as applicable on the date of the commencement of the Petroleum and Natural Gas Regulatory Board (Determination of Petroleum and Petroleum Products Pipeline Transportation Tariff) Amendment Regulations, 2012 which shall be frozen during the extended period of transition.]</w:t>
      </w:r>
    </w:p>
    <w:p w14:paraId="1407C22F" w14:textId="77777777" w:rsidR="00733C4F" w:rsidRDefault="00733C4F" w:rsidP="00733C4F">
      <w:pPr>
        <w:ind w:left="720"/>
        <w:jc w:val="both"/>
        <w:rPr>
          <w:rFonts w:ascii="Times New Roman" w:hAnsi="Times New Roman"/>
          <w:sz w:val="24"/>
          <w:szCs w:val="24"/>
        </w:rPr>
      </w:pPr>
      <w:r>
        <w:rPr>
          <w:rStyle w:val="FootnoteReference"/>
          <w:rFonts w:ascii="Times New Roman" w:hAnsi="Times New Roman"/>
          <w:sz w:val="24"/>
          <w:szCs w:val="24"/>
        </w:rPr>
        <w:footnoteReference w:id="14"/>
      </w:r>
      <w:r>
        <w:rPr>
          <w:rFonts w:ascii="Times New Roman" w:hAnsi="Times New Roman"/>
          <w:sz w:val="24"/>
          <w:szCs w:val="24"/>
        </w:rPr>
        <w:t>[Provid</w:t>
      </w:r>
      <w:r>
        <w:rPr>
          <w:rFonts w:ascii="Times New Roman" w:hAnsi="Times New Roman"/>
          <w:spacing w:val="-1"/>
          <w:sz w:val="24"/>
          <w:szCs w:val="24"/>
        </w:rPr>
        <w:t>e</w:t>
      </w:r>
      <w:r>
        <w:rPr>
          <w:rFonts w:ascii="Times New Roman" w:hAnsi="Times New Roman"/>
          <w:sz w:val="24"/>
          <w:szCs w:val="24"/>
        </w:rPr>
        <w:t>d fur</w:t>
      </w:r>
      <w:r>
        <w:rPr>
          <w:rFonts w:ascii="Times New Roman" w:hAnsi="Times New Roman"/>
          <w:spacing w:val="-2"/>
          <w:sz w:val="24"/>
          <w:szCs w:val="24"/>
        </w:rPr>
        <w:t>t</w:t>
      </w:r>
      <w:r>
        <w:rPr>
          <w:rFonts w:ascii="Times New Roman" w:hAnsi="Times New Roman"/>
          <w:sz w:val="24"/>
          <w:szCs w:val="24"/>
        </w:rPr>
        <w:t>her that the determ</w:t>
      </w:r>
      <w:r>
        <w:rPr>
          <w:rFonts w:ascii="Times New Roman" w:hAnsi="Times New Roman"/>
          <w:spacing w:val="-2"/>
          <w:sz w:val="24"/>
          <w:szCs w:val="24"/>
        </w:rPr>
        <w:t>i</w:t>
      </w:r>
      <w:r>
        <w:rPr>
          <w:rFonts w:ascii="Times New Roman" w:hAnsi="Times New Roman"/>
          <w:sz w:val="24"/>
          <w:szCs w:val="24"/>
        </w:rPr>
        <w:t>nation  of the petro</w:t>
      </w:r>
      <w:r>
        <w:rPr>
          <w:rFonts w:ascii="Times New Roman" w:hAnsi="Times New Roman"/>
          <w:spacing w:val="-1"/>
          <w:sz w:val="24"/>
          <w:szCs w:val="24"/>
        </w:rPr>
        <w:t>l</w:t>
      </w:r>
      <w:r>
        <w:rPr>
          <w:rFonts w:ascii="Times New Roman" w:hAnsi="Times New Roman"/>
          <w:sz w:val="24"/>
          <w:szCs w:val="24"/>
        </w:rPr>
        <w:t>eum a</w:t>
      </w:r>
      <w:r>
        <w:rPr>
          <w:rFonts w:ascii="Times New Roman" w:hAnsi="Times New Roman"/>
          <w:spacing w:val="-1"/>
          <w:sz w:val="24"/>
          <w:szCs w:val="24"/>
        </w:rPr>
        <w:t>n</w:t>
      </w:r>
      <w:r>
        <w:rPr>
          <w:rFonts w:ascii="Times New Roman" w:hAnsi="Times New Roman"/>
          <w:sz w:val="24"/>
          <w:szCs w:val="24"/>
        </w:rPr>
        <w:t>d pe</w:t>
      </w:r>
      <w:r>
        <w:rPr>
          <w:rFonts w:ascii="Times New Roman" w:hAnsi="Times New Roman"/>
          <w:spacing w:val="-2"/>
          <w:sz w:val="24"/>
          <w:szCs w:val="24"/>
        </w:rPr>
        <w:t>t</w:t>
      </w:r>
      <w:r>
        <w:rPr>
          <w:rFonts w:ascii="Times New Roman" w:hAnsi="Times New Roman"/>
          <w:sz w:val="24"/>
          <w:szCs w:val="24"/>
        </w:rPr>
        <w:t>role</w:t>
      </w:r>
      <w:r>
        <w:rPr>
          <w:rFonts w:ascii="Times New Roman" w:hAnsi="Times New Roman"/>
          <w:spacing w:val="-1"/>
          <w:sz w:val="24"/>
          <w:szCs w:val="24"/>
        </w:rPr>
        <w:t>u</w:t>
      </w:r>
      <w:r>
        <w:rPr>
          <w:rFonts w:ascii="Times New Roman" w:hAnsi="Times New Roman"/>
          <w:sz w:val="24"/>
          <w:szCs w:val="24"/>
        </w:rPr>
        <w:t>m prod</w:t>
      </w:r>
      <w:r>
        <w:rPr>
          <w:rFonts w:ascii="Times New Roman" w:hAnsi="Times New Roman"/>
          <w:spacing w:val="-1"/>
          <w:sz w:val="24"/>
          <w:szCs w:val="24"/>
        </w:rPr>
        <w:t>u</w:t>
      </w:r>
      <w:r>
        <w:rPr>
          <w:rFonts w:ascii="Times New Roman" w:hAnsi="Times New Roman"/>
          <w:sz w:val="24"/>
          <w:szCs w:val="24"/>
        </w:rPr>
        <w:t>ct pipeli</w:t>
      </w:r>
      <w:r>
        <w:rPr>
          <w:rFonts w:ascii="Times New Roman" w:hAnsi="Times New Roman"/>
          <w:spacing w:val="-1"/>
          <w:sz w:val="24"/>
          <w:szCs w:val="24"/>
        </w:rPr>
        <w:t>n</w:t>
      </w:r>
      <w:r>
        <w:rPr>
          <w:rFonts w:ascii="Times New Roman" w:hAnsi="Times New Roman"/>
          <w:sz w:val="24"/>
          <w:szCs w:val="24"/>
        </w:rPr>
        <w:t>e transportati</w:t>
      </w:r>
      <w:r>
        <w:rPr>
          <w:rFonts w:ascii="Times New Roman" w:hAnsi="Times New Roman"/>
          <w:spacing w:val="-1"/>
          <w:sz w:val="24"/>
          <w:szCs w:val="24"/>
        </w:rPr>
        <w:t>o</w:t>
      </w:r>
      <w:r>
        <w:rPr>
          <w:rFonts w:ascii="Times New Roman" w:hAnsi="Times New Roman"/>
          <w:sz w:val="24"/>
          <w:szCs w:val="24"/>
        </w:rPr>
        <w:t>n tariff shall be be</w:t>
      </w:r>
      <w:r>
        <w:rPr>
          <w:rFonts w:ascii="Times New Roman" w:hAnsi="Times New Roman"/>
          <w:spacing w:val="-1"/>
          <w:sz w:val="24"/>
          <w:szCs w:val="24"/>
        </w:rPr>
        <w:t>n</w:t>
      </w:r>
      <w:r>
        <w:rPr>
          <w:rFonts w:ascii="Times New Roman" w:hAnsi="Times New Roman"/>
          <w:sz w:val="24"/>
          <w:szCs w:val="24"/>
        </w:rPr>
        <w:t>chm</w:t>
      </w:r>
      <w:r>
        <w:rPr>
          <w:rFonts w:ascii="Times New Roman" w:hAnsi="Times New Roman"/>
          <w:spacing w:val="-1"/>
          <w:sz w:val="24"/>
          <w:szCs w:val="24"/>
        </w:rPr>
        <w:t>a</w:t>
      </w:r>
      <w:r>
        <w:rPr>
          <w:rFonts w:ascii="Times New Roman" w:hAnsi="Times New Roman"/>
          <w:sz w:val="24"/>
          <w:szCs w:val="24"/>
        </w:rPr>
        <w:t>rked against the goo</w:t>
      </w:r>
      <w:r>
        <w:rPr>
          <w:rFonts w:ascii="Times New Roman" w:hAnsi="Times New Roman"/>
          <w:spacing w:val="-1"/>
          <w:sz w:val="24"/>
          <w:szCs w:val="24"/>
        </w:rPr>
        <w:t>d</w:t>
      </w:r>
      <w:r>
        <w:rPr>
          <w:rFonts w:ascii="Times New Roman" w:hAnsi="Times New Roman"/>
          <w:sz w:val="24"/>
          <w:szCs w:val="24"/>
        </w:rPr>
        <w:t>s tariff tab</w:t>
      </w:r>
      <w:r>
        <w:rPr>
          <w:rFonts w:ascii="Times New Roman" w:hAnsi="Times New Roman"/>
          <w:spacing w:val="1"/>
          <w:sz w:val="24"/>
          <w:szCs w:val="24"/>
        </w:rPr>
        <w:t>l</w:t>
      </w:r>
      <w:r>
        <w:rPr>
          <w:rFonts w:ascii="Times New Roman" w:hAnsi="Times New Roman"/>
          <w:sz w:val="24"/>
          <w:szCs w:val="24"/>
        </w:rPr>
        <w:t xml:space="preserve">e of the railways </w:t>
      </w:r>
      <w:r>
        <w:rPr>
          <w:rFonts w:ascii="Times New Roman" w:hAnsi="Times New Roman"/>
          <w:spacing w:val="-1"/>
          <w:sz w:val="24"/>
          <w:szCs w:val="24"/>
        </w:rPr>
        <w:t>a</w:t>
      </w:r>
      <w:r>
        <w:rPr>
          <w:rFonts w:ascii="Times New Roman" w:hAnsi="Times New Roman"/>
          <w:sz w:val="24"/>
          <w:szCs w:val="24"/>
        </w:rPr>
        <w:t>s ap</w:t>
      </w:r>
      <w:r>
        <w:rPr>
          <w:rFonts w:ascii="Times New Roman" w:hAnsi="Times New Roman"/>
          <w:spacing w:val="-1"/>
          <w:sz w:val="24"/>
          <w:szCs w:val="24"/>
        </w:rPr>
        <w:t>p</w:t>
      </w:r>
      <w:r>
        <w:rPr>
          <w:rFonts w:ascii="Times New Roman" w:hAnsi="Times New Roman"/>
          <w:sz w:val="24"/>
          <w:szCs w:val="24"/>
        </w:rPr>
        <w:t>licab</w:t>
      </w:r>
      <w:r>
        <w:rPr>
          <w:rFonts w:ascii="Times New Roman" w:hAnsi="Times New Roman"/>
          <w:spacing w:val="-1"/>
          <w:sz w:val="24"/>
          <w:szCs w:val="24"/>
        </w:rPr>
        <w:t>l</w:t>
      </w:r>
      <w:r>
        <w:rPr>
          <w:rFonts w:ascii="Times New Roman" w:hAnsi="Times New Roman"/>
          <w:sz w:val="24"/>
          <w:szCs w:val="24"/>
        </w:rPr>
        <w:t xml:space="preserve">e on the date of the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min</w:t>
      </w:r>
      <w:r>
        <w:rPr>
          <w:rFonts w:ascii="Times New Roman" w:hAnsi="Times New Roman"/>
          <w:sz w:val="24"/>
          <w:szCs w:val="24"/>
        </w:rPr>
        <w:t xml:space="preserve">g </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t</w:t>
      </w:r>
      <w:r>
        <w:rPr>
          <w:rFonts w:ascii="Times New Roman" w:hAnsi="Times New Roman"/>
          <w:sz w:val="24"/>
          <w:szCs w:val="24"/>
        </w:rPr>
        <w:t xml:space="preserve">o </w:t>
      </w:r>
      <w:r>
        <w:rPr>
          <w:rFonts w:ascii="Times New Roman" w:hAnsi="Times New Roman"/>
          <w:spacing w:val="-1"/>
          <w:sz w:val="24"/>
          <w:szCs w:val="24"/>
        </w:rPr>
        <w:t>f</w:t>
      </w:r>
      <w:r>
        <w:rPr>
          <w:rFonts w:ascii="Times New Roman" w:hAnsi="Times New Roman"/>
          <w:sz w:val="24"/>
          <w:szCs w:val="24"/>
        </w:rPr>
        <w:t>or</w:t>
      </w:r>
      <w:r>
        <w:rPr>
          <w:rFonts w:ascii="Times New Roman" w:hAnsi="Times New Roman"/>
          <w:spacing w:val="-1"/>
          <w:sz w:val="24"/>
          <w:szCs w:val="24"/>
        </w:rPr>
        <w:t>c</w:t>
      </w:r>
      <w:r>
        <w:rPr>
          <w:rFonts w:ascii="Times New Roman" w:hAnsi="Times New Roman"/>
          <w:sz w:val="24"/>
          <w:szCs w:val="24"/>
        </w:rPr>
        <w:t xml:space="preserve">e of </w:t>
      </w:r>
      <w:r>
        <w:rPr>
          <w:rFonts w:ascii="Times New Roman" w:hAnsi="Times New Roman"/>
          <w:spacing w:val="-1"/>
          <w:sz w:val="24"/>
          <w:szCs w:val="24"/>
        </w:rPr>
        <w:t>t</w:t>
      </w:r>
      <w:r>
        <w:rPr>
          <w:rFonts w:ascii="Times New Roman" w:hAnsi="Times New Roman"/>
          <w:sz w:val="24"/>
          <w:szCs w:val="24"/>
        </w:rPr>
        <w:t xml:space="preserve">he </w:t>
      </w:r>
      <w:r>
        <w:rPr>
          <w:rFonts w:ascii="Times New Roman" w:hAnsi="Times New Roman"/>
          <w:spacing w:val="-1"/>
          <w:sz w:val="24"/>
          <w:szCs w:val="24"/>
        </w:rPr>
        <w:t>P</w:t>
      </w:r>
      <w:r>
        <w:rPr>
          <w:rFonts w:ascii="Times New Roman" w:hAnsi="Times New Roman"/>
          <w:sz w:val="24"/>
          <w:szCs w:val="24"/>
        </w:rPr>
        <w:t>e</w:t>
      </w:r>
      <w:r>
        <w:rPr>
          <w:rFonts w:ascii="Times New Roman" w:hAnsi="Times New Roman"/>
          <w:spacing w:val="-1"/>
          <w:sz w:val="24"/>
          <w:szCs w:val="24"/>
        </w:rPr>
        <w:t>t</w:t>
      </w:r>
      <w:r>
        <w:rPr>
          <w:rFonts w:ascii="Times New Roman" w:hAnsi="Times New Roman"/>
          <w:sz w:val="24"/>
          <w:szCs w:val="24"/>
        </w:rPr>
        <w:t>role</w:t>
      </w:r>
      <w:r>
        <w:rPr>
          <w:rFonts w:ascii="Times New Roman" w:hAnsi="Times New Roman"/>
          <w:spacing w:val="-1"/>
          <w:sz w:val="24"/>
          <w:szCs w:val="24"/>
        </w:rPr>
        <w:t>u</w:t>
      </w:r>
      <w:r>
        <w:rPr>
          <w:rFonts w:ascii="Times New Roman" w:hAnsi="Times New Roman"/>
          <w:sz w:val="24"/>
          <w:szCs w:val="24"/>
        </w:rPr>
        <w:t>m a</w:t>
      </w:r>
      <w:r>
        <w:rPr>
          <w:rFonts w:ascii="Times New Roman" w:hAnsi="Times New Roman"/>
          <w:spacing w:val="-1"/>
          <w:sz w:val="24"/>
          <w:szCs w:val="24"/>
        </w:rPr>
        <w:t>n</w:t>
      </w:r>
      <w:r>
        <w:rPr>
          <w:rFonts w:ascii="Times New Roman" w:hAnsi="Times New Roman"/>
          <w:sz w:val="24"/>
          <w:szCs w:val="24"/>
        </w:rPr>
        <w:t>d Na</w:t>
      </w:r>
      <w:r>
        <w:rPr>
          <w:rFonts w:ascii="Times New Roman" w:hAnsi="Times New Roman"/>
          <w:spacing w:val="-1"/>
          <w:sz w:val="24"/>
          <w:szCs w:val="24"/>
        </w:rPr>
        <w:t>tu</w:t>
      </w:r>
      <w:r>
        <w:rPr>
          <w:rFonts w:ascii="Times New Roman" w:hAnsi="Times New Roman"/>
          <w:sz w:val="24"/>
          <w:szCs w:val="24"/>
        </w:rPr>
        <w:t xml:space="preserve">ral </w:t>
      </w:r>
      <w:r>
        <w:rPr>
          <w:rFonts w:ascii="Times New Roman" w:hAnsi="Times New Roman"/>
          <w:spacing w:val="-1"/>
          <w:sz w:val="24"/>
          <w:szCs w:val="24"/>
        </w:rPr>
        <w:t>G</w:t>
      </w:r>
      <w:r>
        <w:rPr>
          <w:rFonts w:ascii="Times New Roman" w:hAnsi="Times New Roman"/>
          <w:sz w:val="24"/>
          <w:szCs w:val="24"/>
        </w:rPr>
        <w:t>as Re</w:t>
      </w:r>
      <w:r>
        <w:rPr>
          <w:rFonts w:ascii="Times New Roman" w:hAnsi="Times New Roman"/>
          <w:spacing w:val="-1"/>
          <w:sz w:val="24"/>
          <w:szCs w:val="24"/>
        </w:rPr>
        <w:t>g</w:t>
      </w:r>
      <w:r>
        <w:rPr>
          <w:rFonts w:ascii="Times New Roman" w:hAnsi="Times New Roman"/>
          <w:sz w:val="24"/>
          <w:szCs w:val="24"/>
        </w:rPr>
        <w:t>u</w:t>
      </w:r>
      <w:r>
        <w:rPr>
          <w:rFonts w:ascii="Times New Roman" w:hAnsi="Times New Roman"/>
          <w:spacing w:val="-1"/>
          <w:sz w:val="24"/>
          <w:szCs w:val="24"/>
        </w:rPr>
        <w:t>l</w:t>
      </w:r>
      <w:r>
        <w:rPr>
          <w:rFonts w:ascii="Times New Roman" w:hAnsi="Times New Roman"/>
          <w:sz w:val="24"/>
          <w:szCs w:val="24"/>
        </w:rPr>
        <w:t>a</w:t>
      </w:r>
      <w:r>
        <w:rPr>
          <w:rFonts w:ascii="Times New Roman" w:hAnsi="Times New Roman"/>
          <w:spacing w:val="-1"/>
          <w:sz w:val="24"/>
          <w:szCs w:val="24"/>
        </w:rPr>
        <w:t>to</w:t>
      </w:r>
      <w:r>
        <w:rPr>
          <w:rFonts w:ascii="Times New Roman" w:hAnsi="Times New Roman"/>
          <w:sz w:val="24"/>
          <w:szCs w:val="24"/>
        </w:rPr>
        <w:t xml:space="preserve">ry </w:t>
      </w:r>
      <w:r>
        <w:rPr>
          <w:rFonts w:ascii="Times New Roman" w:hAnsi="Times New Roman"/>
          <w:spacing w:val="-1"/>
          <w:sz w:val="24"/>
          <w:szCs w:val="24"/>
        </w:rPr>
        <w:t>B</w:t>
      </w:r>
      <w:r>
        <w:rPr>
          <w:rFonts w:ascii="Times New Roman" w:hAnsi="Times New Roman"/>
          <w:sz w:val="24"/>
          <w:szCs w:val="24"/>
        </w:rPr>
        <w:t xml:space="preserve">oard </w:t>
      </w:r>
      <w:r>
        <w:rPr>
          <w:rFonts w:ascii="Times New Roman" w:hAnsi="Times New Roman"/>
          <w:spacing w:val="-1"/>
          <w:sz w:val="24"/>
          <w:szCs w:val="24"/>
        </w:rPr>
        <w:t>(</w:t>
      </w:r>
      <w:r>
        <w:rPr>
          <w:rFonts w:ascii="Times New Roman" w:hAnsi="Times New Roman"/>
          <w:sz w:val="24"/>
          <w:szCs w:val="24"/>
        </w:rPr>
        <w:t>Dete</w:t>
      </w:r>
      <w:r>
        <w:rPr>
          <w:rFonts w:ascii="Times New Roman" w:hAnsi="Times New Roman"/>
          <w:spacing w:val="-1"/>
          <w:sz w:val="24"/>
          <w:szCs w:val="24"/>
        </w:rPr>
        <w:t>rmi</w:t>
      </w:r>
      <w:r>
        <w:rPr>
          <w:rFonts w:ascii="Times New Roman" w:hAnsi="Times New Roman"/>
          <w:sz w:val="24"/>
          <w:szCs w:val="24"/>
        </w:rPr>
        <w:t>nat</w:t>
      </w:r>
      <w:r>
        <w:rPr>
          <w:rFonts w:ascii="Times New Roman" w:hAnsi="Times New Roman"/>
          <w:spacing w:val="-1"/>
          <w:sz w:val="24"/>
          <w:szCs w:val="24"/>
        </w:rPr>
        <w:t>i</w:t>
      </w:r>
      <w:r>
        <w:rPr>
          <w:rFonts w:ascii="Times New Roman" w:hAnsi="Times New Roman"/>
          <w:sz w:val="24"/>
          <w:szCs w:val="24"/>
        </w:rPr>
        <w:t xml:space="preserve">on of </w:t>
      </w:r>
      <w:r>
        <w:rPr>
          <w:rFonts w:ascii="Times New Roman" w:hAnsi="Times New Roman"/>
          <w:spacing w:val="-1"/>
          <w:sz w:val="24"/>
          <w:szCs w:val="24"/>
        </w:rPr>
        <w:t>P</w:t>
      </w:r>
      <w:r>
        <w:rPr>
          <w:rFonts w:ascii="Times New Roman" w:hAnsi="Times New Roman"/>
          <w:sz w:val="24"/>
          <w:szCs w:val="24"/>
        </w:rPr>
        <w:t>e</w:t>
      </w:r>
      <w:r>
        <w:rPr>
          <w:rFonts w:ascii="Times New Roman" w:hAnsi="Times New Roman"/>
          <w:spacing w:val="-1"/>
          <w:sz w:val="24"/>
          <w:szCs w:val="24"/>
        </w:rPr>
        <w:t>t</w:t>
      </w:r>
      <w:r>
        <w:rPr>
          <w:rFonts w:ascii="Times New Roman" w:hAnsi="Times New Roman"/>
          <w:sz w:val="24"/>
          <w:szCs w:val="24"/>
        </w:rPr>
        <w:t>role</w:t>
      </w:r>
      <w:r>
        <w:rPr>
          <w:rFonts w:ascii="Times New Roman" w:hAnsi="Times New Roman"/>
          <w:spacing w:val="-1"/>
          <w:sz w:val="24"/>
          <w:szCs w:val="24"/>
        </w:rPr>
        <w:t>u</w:t>
      </w:r>
      <w:r>
        <w:rPr>
          <w:rFonts w:ascii="Times New Roman" w:hAnsi="Times New Roman"/>
          <w:sz w:val="24"/>
          <w:szCs w:val="24"/>
        </w:rPr>
        <w:t xml:space="preserve">m </w:t>
      </w:r>
      <w:r>
        <w:rPr>
          <w:rFonts w:ascii="Times New Roman" w:hAnsi="Times New Roman"/>
          <w:spacing w:val="-1"/>
          <w:sz w:val="24"/>
          <w:szCs w:val="24"/>
        </w:rPr>
        <w:t xml:space="preserve">and </w:t>
      </w:r>
      <w:r>
        <w:rPr>
          <w:rFonts w:ascii="Times New Roman" w:hAnsi="Times New Roman"/>
          <w:sz w:val="24"/>
          <w:szCs w:val="24"/>
        </w:rPr>
        <w:t>Petroleum Prod</w:t>
      </w:r>
      <w:r>
        <w:rPr>
          <w:rFonts w:ascii="Times New Roman" w:hAnsi="Times New Roman"/>
          <w:spacing w:val="-1"/>
          <w:sz w:val="24"/>
          <w:szCs w:val="24"/>
        </w:rPr>
        <w:t>u</w:t>
      </w:r>
      <w:r>
        <w:rPr>
          <w:rFonts w:ascii="Times New Roman" w:hAnsi="Times New Roman"/>
          <w:sz w:val="24"/>
          <w:szCs w:val="24"/>
        </w:rPr>
        <w:t>cts Pipel</w:t>
      </w:r>
      <w:r>
        <w:rPr>
          <w:rFonts w:ascii="Times New Roman" w:hAnsi="Times New Roman"/>
          <w:spacing w:val="-1"/>
          <w:sz w:val="24"/>
          <w:szCs w:val="24"/>
        </w:rPr>
        <w:t>i</w:t>
      </w:r>
      <w:r>
        <w:rPr>
          <w:rFonts w:ascii="Times New Roman" w:hAnsi="Times New Roman"/>
          <w:sz w:val="24"/>
          <w:szCs w:val="24"/>
        </w:rPr>
        <w:t>ne Tr</w:t>
      </w:r>
      <w:r>
        <w:rPr>
          <w:rFonts w:ascii="Times New Roman" w:hAnsi="Times New Roman"/>
          <w:spacing w:val="-1"/>
          <w:sz w:val="24"/>
          <w:szCs w:val="24"/>
        </w:rPr>
        <w:t>a</w:t>
      </w:r>
      <w:r>
        <w:rPr>
          <w:rFonts w:ascii="Times New Roman" w:hAnsi="Times New Roman"/>
          <w:sz w:val="24"/>
          <w:szCs w:val="24"/>
        </w:rPr>
        <w:t>nspor</w:t>
      </w:r>
      <w:r>
        <w:rPr>
          <w:rFonts w:ascii="Times New Roman" w:hAnsi="Times New Roman"/>
          <w:spacing w:val="-2"/>
          <w:sz w:val="24"/>
          <w:szCs w:val="24"/>
        </w:rPr>
        <w:t>t</w:t>
      </w:r>
      <w:r>
        <w:rPr>
          <w:rFonts w:ascii="Times New Roman" w:hAnsi="Times New Roman"/>
          <w:sz w:val="24"/>
          <w:szCs w:val="24"/>
        </w:rPr>
        <w:t>ation Tariff) Amendm</w:t>
      </w:r>
      <w:r>
        <w:rPr>
          <w:rFonts w:ascii="Times New Roman" w:hAnsi="Times New Roman"/>
          <w:spacing w:val="-1"/>
          <w:sz w:val="24"/>
          <w:szCs w:val="24"/>
        </w:rPr>
        <w:t>e</w:t>
      </w:r>
      <w:r>
        <w:rPr>
          <w:rFonts w:ascii="Times New Roman" w:hAnsi="Times New Roman"/>
          <w:sz w:val="24"/>
          <w:szCs w:val="24"/>
        </w:rPr>
        <w:t>nt Re</w:t>
      </w:r>
      <w:r>
        <w:rPr>
          <w:rFonts w:ascii="Times New Roman" w:hAnsi="Times New Roman"/>
          <w:spacing w:val="-1"/>
          <w:sz w:val="24"/>
          <w:szCs w:val="24"/>
        </w:rPr>
        <w:t>g</w:t>
      </w:r>
      <w:r>
        <w:rPr>
          <w:rFonts w:ascii="Times New Roman" w:hAnsi="Times New Roman"/>
          <w:sz w:val="24"/>
          <w:szCs w:val="24"/>
        </w:rPr>
        <w:t>ulatio</w:t>
      </w:r>
      <w:r>
        <w:rPr>
          <w:rFonts w:ascii="Times New Roman" w:hAnsi="Times New Roman"/>
          <w:spacing w:val="-1"/>
          <w:sz w:val="24"/>
          <w:szCs w:val="24"/>
        </w:rPr>
        <w:t>n</w:t>
      </w:r>
      <w:r>
        <w:rPr>
          <w:rFonts w:ascii="Times New Roman" w:hAnsi="Times New Roman"/>
          <w:sz w:val="24"/>
          <w:szCs w:val="24"/>
        </w:rPr>
        <w:t>s, 2014 a</w:t>
      </w:r>
      <w:r>
        <w:rPr>
          <w:rFonts w:ascii="Times New Roman" w:hAnsi="Times New Roman"/>
          <w:spacing w:val="-1"/>
          <w:sz w:val="24"/>
          <w:szCs w:val="24"/>
        </w:rPr>
        <w:t>n</w:t>
      </w:r>
      <w:r>
        <w:rPr>
          <w:rFonts w:ascii="Times New Roman" w:hAnsi="Times New Roman"/>
          <w:sz w:val="24"/>
          <w:szCs w:val="24"/>
        </w:rPr>
        <w:t>d if the goo</w:t>
      </w:r>
      <w:r>
        <w:rPr>
          <w:rFonts w:ascii="Times New Roman" w:hAnsi="Times New Roman"/>
          <w:spacing w:val="-1"/>
          <w:sz w:val="24"/>
          <w:szCs w:val="24"/>
        </w:rPr>
        <w:t>d</w:t>
      </w:r>
      <w:r>
        <w:rPr>
          <w:rFonts w:ascii="Times New Roman" w:hAnsi="Times New Roman"/>
          <w:sz w:val="24"/>
          <w:szCs w:val="24"/>
        </w:rPr>
        <w:t>s tar</w:t>
      </w:r>
      <w:r>
        <w:rPr>
          <w:rFonts w:ascii="Times New Roman" w:hAnsi="Times New Roman"/>
          <w:spacing w:val="-1"/>
          <w:sz w:val="24"/>
          <w:szCs w:val="24"/>
        </w:rPr>
        <w:t>i</w:t>
      </w:r>
      <w:r>
        <w:rPr>
          <w:rFonts w:ascii="Times New Roman" w:hAnsi="Times New Roman"/>
          <w:sz w:val="24"/>
          <w:szCs w:val="24"/>
        </w:rPr>
        <w:t>ff table of the railwa</w:t>
      </w:r>
      <w:r>
        <w:rPr>
          <w:rFonts w:ascii="Times New Roman" w:hAnsi="Times New Roman"/>
          <w:spacing w:val="-2"/>
          <w:sz w:val="24"/>
          <w:szCs w:val="24"/>
        </w:rPr>
        <w:t>y</w:t>
      </w:r>
      <w:r>
        <w:rPr>
          <w:rFonts w:ascii="Times New Roman" w:hAnsi="Times New Roman"/>
          <w:sz w:val="24"/>
          <w:szCs w:val="24"/>
        </w:rPr>
        <w:t>s is re</w:t>
      </w:r>
      <w:r>
        <w:rPr>
          <w:rFonts w:ascii="Times New Roman" w:hAnsi="Times New Roman"/>
          <w:spacing w:val="-2"/>
          <w:sz w:val="24"/>
          <w:szCs w:val="24"/>
        </w:rPr>
        <w:t>v</w:t>
      </w:r>
      <w:r>
        <w:rPr>
          <w:rFonts w:ascii="Times New Roman" w:hAnsi="Times New Roman"/>
          <w:sz w:val="24"/>
          <w:szCs w:val="24"/>
        </w:rPr>
        <w:t>ised d</w:t>
      </w:r>
      <w:r>
        <w:rPr>
          <w:rFonts w:ascii="Times New Roman" w:hAnsi="Times New Roman"/>
          <w:spacing w:val="-1"/>
          <w:sz w:val="24"/>
          <w:szCs w:val="24"/>
        </w:rPr>
        <w:t>u</w:t>
      </w:r>
      <w:r>
        <w:rPr>
          <w:rFonts w:ascii="Times New Roman" w:hAnsi="Times New Roman"/>
          <w:sz w:val="24"/>
          <w:szCs w:val="24"/>
        </w:rPr>
        <w:t>ri</w:t>
      </w:r>
      <w:r>
        <w:rPr>
          <w:rFonts w:ascii="Times New Roman" w:hAnsi="Times New Roman"/>
          <w:spacing w:val="-1"/>
          <w:sz w:val="24"/>
          <w:szCs w:val="24"/>
        </w:rPr>
        <w:t>n</w:t>
      </w:r>
      <w:r>
        <w:rPr>
          <w:rFonts w:ascii="Times New Roman" w:hAnsi="Times New Roman"/>
          <w:sz w:val="24"/>
          <w:szCs w:val="24"/>
        </w:rPr>
        <w:t>g the further ex</w:t>
      </w:r>
      <w:r>
        <w:rPr>
          <w:rFonts w:ascii="Times New Roman" w:hAnsi="Times New Roman"/>
          <w:spacing w:val="-2"/>
          <w:sz w:val="24"/>
          <w:szCs w:val="24"/>
        </w:rPr>
        <w:t>t</w:t>
      </w:r>
      <w:r>
        <w:rPr>
          <w:rFonts w:ascii="Times New Roman" w:hAnsi="Times New Roman"/>
          <w:sz w:val="24"/>
          <w:szCs w:val="24"/>
        </w:rPr>
        <w:t>end</w:t>
      </w:r>
      <w:r>
        <w:rPr>
          <w:rFonts w:ascii="Times New Roman" w:hAnsi="Times New Roman"/>
          <w:spacing w:val="-1"/>
          <w:sz w:val="24"/>
          <w:szCs w:val="24"/>
        </w:rPr>
        <w:t>e</w:t>
      </w:r>
      <w:r>
        <w:rPr>
          <w:rFonts w:ascii="Times New Roman" w:hAnsi="Times New Roman"/>
          <w:sz w:val="24"/>
          <w:szCs w:val="24"/>
        </w:rPr>
        <w:t>d peri</w:t>
      </w:r>
      <w:r>
        <w:rPr>
          <w:rFonts w:ascii="Times New Roman" w:hAnsi="Times New Roman"/>
          <w:spacing w:val="-1"/>
          <w:sz w:val="24"/>
          <w:szCs w:val="24"/>
        </w:rPr>
        <w:t>o</w:t>
      </w:r>
      <w:r>
        <w:rPr>
          <w:rFonts w:ascii="Times New Roman" w:hAnsi="Times New Roman"/>
          <w:sz w:val="24"/>
          <w:szCs w:val="24"/>
        </w:rPr>
        <w:t>d of transition, the Board may cons</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 and d</w:t>
      </w:r>
      <w:r>
        <w:rPr>
          <w:rFonts w:ascii="Times New Roman" w:hAnsi="Times New Roman"/>
          <w:spacing w:val="-1"/>
          <w:sz w:val="24"/>
          <w:szCs w:val="24"/>
        </w:rPr>
        <w:t>e</w:t>
      </w:r>
      <w:r>
        <w:rPr>
          <w:rFonts w:ascii="Times New Roman" w:hAnsi="Times New Roman"/>
          <w:sz w:val="24"/>
          <w:szCs w:val="24"/>
        </w:rPr>
        <w:t>cide t</w:t>
      </w:r>
      <w:r>
        <w:rPr>
          <w:rFonts w:ascii="Times New Roman" w:hAnsi="Times New Roman"/>
          <w:spacing w:val="-1"/>
          <w:sz w:val="24"/>
          <w:szCs w:val="24"/>
        </w:rPr>
        <w:t>h</w:t>
      </w:r>
      <w:r>
        <w:rPr>
          <w:rFonts w:ascii="Times New Roman" w:hAnsi="Times New Roman"/>
          <w:sz w:val="24"/>
          <w:szCs w:val="24"/>
        </w:rPr>
        <w:t>e benchm</w:t>
      </w:r>
      <w:r>
        <w:rPr>
          <w:rFonts w:ascii="Times New Roman" w:hAnsi="Times New Roman"/>
          <w:spacing w:val="-1"/>
          <w:sz w:val="24"/>
          <w:szCs w:val="24"/>
        </w:rPr>
        <w:t>a</w:t>
      </w:r>
      <w:r>
        <w:rPr>
          <w:rFonts w:ascii="Times New Roman" w:hAnsi="Times New Roman"/>
          <w:sz w:val="24"/>
          <w:szCs w:val="24"/>
        </w:rPr>
        <w:t>rk</w:t>
      </w:r>
      <w:r>
        <w:rPr>
          <w:rFonts w:ascii="Times New Roman" w:hAnsi="Times New Roman"/>
          <w:spacing w:val="-1"/>
          <w:sz w:val="24"/>
          <w:szCs w:val="24"/>
        </w:rPr>
        <w:t>i</w:t>
      </w:r>
      <w:r>
        <w:rPr>
          <w:rFonts w:ascii="Times New Roman" w:hAnsi="Times New Roman"/>
          <w:sz w:val="24"/>
          <w:szCs w:val="24"/>
        </w:rPr>
        <w:t xml:space="preserve">ng of the petroleum and </w:t>
      </w:r>
      <w:r>
        <w:rPr>
          <w:rFonts w:ascii="Times New Roman" w:hAnsi="Times New Roman"/>
          <w:spacing w:val="-1"/>
          <w:sz w:val="24"/>
          <w:szCs w:val="24"/>
        </w:rPr>
        <w:t>p</w:t>
      </w:r>
      <w:r>
        <w:rPr>
          <w:rFonts w:ascii="Times New Roman" w:hAnsi="Times New Roman"/>
          <w:sz w:val="24"/>
          <w:szCs w:val="24"/>
        </w:rPr>
        <w:t>etrole</w:t>
      </w:r>
      <w:r>
        <w:rPr>
          <w:rFonts w:ascii="Times New Roman" w:hAnsi="Times New Roman"/>
          <w:spacing w:val="-1"/>
          <w:sz w:val="24"/>
          <w:szCs w:val="24"/>
        </w:rPr>
        <w:t>u</w:t>
      </w:r>
      <w:r>
        <w:rPr>
          <w:rFonts w:ascii="Times New Roman" w:hAnsi="Times New Roman"/>
          <w:sz w:val="24"/>
          <w:szCs w:val="24"/>
        </w:rPr>
        <w:t>m pr</w:t>
      </w:r>
      <w:r>
        <w:rPr>
          <w:rFonts w:ascii="Times New Roman" w:hAnsi="Times New Roman"/>
          <w:spacing w:val="-1"/>
          <w:sz w:val="24"/>
          <w:szCs w:val="24"/>
        </w:rPr>
        <w:t>o</w:t>
      </w:r>
      <w:r>
        <w:rPr>
          <w:rFonts w:ascii="Times New Roman" w:hAnsi="Times New Roman"/>
          <w:sz w:val="24"/>
          <w:szCs w:val="24"/>
        </w:rPr>
        <w:t>duc</w:t>
      </w:r>
      <w:r>
        <w:rPr>
          <w:rFonts w:ascii="Times New Roman" w:hAnsi="Times New Roman"/>
          <w:spacing w:val="-2"/>
          <w:sz w:val="24"/>
          <w:szCs w:val="24"/>
        </w:rPr>
        <w:t>t</w:t>
      </w:r>
      <w:r>
        <w:rPr>
          <w:rFonts w:ascii="Times New Roman" w:hAnsi="Times New Roman"/>
          <w:sz w:val="24"/>
          <w:szCs w:val="24"/>
        </w:rPr>
        <w:t>s tra</w:t>
      </w:r>
      <w:r>
        <w:rPr>
          <w:rFonts w:ascii="Times New Roman" w:hAnsi="Times New Roman"/>
          <w:spacing w:val="-1"/>
          <w:sz w:val="24"/>
          <w:szCs w:val="24"/>
        </w:rPr>
        <w:t>n</w:t>
      </w:r>
      <w:r>
        <w:rPr>
          <w:rFonts w:ascii="Times New Roman" w:hAnsi="Times New Roman"/>
          <w:sz w:val="24"/>
          <w:szCs w:val="24"/>
        </w:rPr>
        <w:t>sp</w:t>
      </w:r>
      <w:r>
        <w:rPr>
          <w:rFonts w:ascii="Times New Roman" w:hAnsi="Times New Roman"/>
          <w:spacing w:val="-1"/>
          <w:sz w:val="24"/>
          <w:szCs w:val="24"/>
        </w:rPr>
        <w:t>o</w:t>
      </w:r>
      <w:r>
        <w:rPr>
          <w:rFonts w:ascii="Times New Roman" w:hAnsi="Times New Roman"/>
          <w:sz w:val="24"/>
          <w:szCs w:val="24"/>
        </w:rPr>
        <w:t>rtation tariff agai</w:t>
      </w:r>
      <w:r>
        <w:rPr>
          <w:rFonts w:ascii="Times New Roman" w:hAnsi="Times New Roman"/>
          <w:spacing w:val="-1"/>
          <w:sz w:val="24"/>
          <w:szCs w:val="24"/>
        </w:rPr>
        <w:t>n</w:t>
      </w:r>
      <w:r>
        <w:rPr>
          <w:rFonts w:ascii="Times New Roman" w:hAnsi="Times New Roman"/>
          <w:spacing w:val="1"/>
          <w:sz w:val="24"/>
          <w:szCs w:val="24"/>
        </w:rPr>
        <w:t>s</w:t>
      </w:r>
      <w:r>
        <w:rPr>
          <w:rFonts w:ascii="Times New Roman" w:hAnsi="Times New Roman"/>
          <w:sz w:val="24"/>
          <w:szCs w:val="24"/>
        </w:rPr>
        <w:t>t such re</w:t>
      </w:r>
      <w:r>
        <w:rPr>
          <w:rFonts w:ascii="Times New Roman" w:hAnsi="Times New Roman"/>
          <w:spacing w:val="-1"/>
          <w:sz w:val="24"/>
          <w:szCs w:val="24"/>
        </w:rPr>
        <w:t>v</w:t>
      </w:r>
      <w:r>
        <w:rPr>
          <w:rFonts w:ascii="Times New Roman" w:hAnsi="Times New Roman"/>
          <w:sz w:val="24"/>
          <w:szCs w:val="24"/>
        </w:rPr>
        <w:t>isi</w:t>
      </w:r>
      <w:r>
        <w:rPr>
          <w:rFonts w:ascii="Times New Roman" w:hAnsi="Times New Roman"/>
          <w:spacing w:val="-1"/>
          <w:sz w:val="24"/>
          <w:szCs w:val="24"/>
        </w:rPr>
        <w:t>o</w:t>
      </w:r>
      <w:r>
        <w:rPr>
          <w:rFonts w:ascii="Times New Roman" w:hAnsi="Times New Roman"/>
          <w:sz w:val="24"/>
          <w:szCs w:val="24"/>
        </w:rPr>
        <w:t>n.]</w:t>
      </w:r>
    </w:p>
    <w:p w14:paraId="08B1539A" w14:textId="77777777" w:rsidR="00733C4F" w:rsidRDefault="00733C4F" w:rsidP="00733C4F">
      <w:pPr>
        <w:ind w:left="720"/>
        <w:jc w:val="both"/>
        <w:rPr>
          <w:rFonts w:ascii="Times New Roman" w:hAnsi="Times New Roman"/>
          <w:sz w:val="24"/>
          <w:szCs w:val="24"/>
        </w:rPr>
      </w:pPr>
      <w:r>
        <w:rPr>
          <w:rStyle w:val="FootnoteReference"/>
          <w:rFonts w:ascii="Times New Roman" w:hAnsi="Times New Roman"/>
          <w:sz w:val="24"/>
          <w:szCs w:val="24"/>
        </w:rPr>
        <w:lastRenderedPageBreak/>
        <w:footnoteReference w:id="15"/>
      </w:r>
      <w:r>
        <w:rPr>
          <w:rFonts w:ascii="Times New Roman" w:hAnsi="Times New Roman"/>
          <w:sz w:val="24"/>
          <w:szCs w:val="24"/>
        </w:rPr>
        <w:t>[</w:t>
      </w:r>
      <w:r w:rsidRPr="00CB0201">
        <w:rPr>
          <w:rFonts w:ascii="Times New Roman" w:hAnsi="Times New Roman"/>
          <w:sz w:val="24"/>
          <w:szCs w:val="24"/>
        </w:rPr>
        <w:t>Provided further that the determination of the petroleum and petroleum product pipeline transportation tariff shall be benchmarked against the goods tariff table of the railways as applicable on the date of the coming into force of the Petroleum and Natural Gas Regulatory Board (Determination of Petroleum and Petroleum Products Pipeline Transportation Tariff) Amendment Regulations, 2016 and if the goods tariff table of the railways is revised during the further extended period of transition, the Board may consider the benchmarking of the petroleum and petroleum products transportation tariff against such revision.</w:t>
      </w:r>
      <w:r>
        <w:rPr>
          <w:rFonts w:ascii="Times New Roman" w:hAnsi="Times New Roman"/>
          <w:sz w:val="24"/>
          <w:szCs w:val="24"/>
        </w:rPr>
        <w:t>]</w:t>
      </w:r>
    </w:p>
    <w:p w14:paraId="15E0FC36" w14:textId="77777777" w:rsidR="00733C4F" w:rsidRDefault="00733C4F" w:rsidP="00733C4F">
      <w:pPr>
        <w:ind w:left="720"/>
        <w:jc w:val="both"/>
        <w:rPr>
          <w:rFonts w:ascii="Times New Roman" w:hAnsi="Times New Roman"/>
          <w:sz w:val="24"/>
          <w:szCs w:val="24"/>
        </w:rPr>
      </w:pPr>
      <w:r>
        <w:rPr>
          <w:rStyle w:val="FootnoteReference"/>
          <w:rFonts w:ascii="Times New Roman" w:hAnsi="Times New Roman"/>
          <w:sz w:val="24"/>
          <w:szCs w:val="24"/>
        </w:rPr>
        <w:footnoteReference w:id="16"/>
      </w:r>
      <w:r>
        <w:rPr>
          <w:rFonts w:ascii="Times New Roman" w:hAnsi="Times New Roman"/>
          <w:sz w:val="24"/>
          <w:szCs w:val="24"/>
        </w:rPr>
        <w:t>[</w:t>
      </w:r>
      <w:r w:rsidRPr="0073414C">
        <w:rPr>
          <w:rFonts w:ascii="Times New Roman" w:hAnsi="Times New Roman"/>
          <w:sz w:val="24"/>
          <w:szCs w:val="24"/>
        </w:rPr>
        <w:t>Provided further that the determination of the petroleum and petroleum product pipeline transportation tariff shall be benchmarked against the goods tariff table of the railways as applicable on the date of the coming into force of the Petroleum and Natural Gas Regulatory Board (Determination of Petroleum and Petroleum Products Pipeline Transportation Tariff) Amendment Regulations, 2017 and if the goods tariff table of the railways is revised during the further extended period of transition, the Board may consider the benchmarking of the petroleum and petroleum products transportation tariff against such revision.</w:t>
      </w:r>
      <w:r>
        <w:rPr>
          <w:rFonts w:ascii="Times New Roman" w:hAnsi="Times New Roman"/>
          <w:sz w:val="24"/>
          <w:szCs w:val="24"/>
        </w:rPr>
        <w:t>]</w:t>
      </w:r>
    </w:p>
    <w:p w14:paraId="73385F1C" w14:textId="77777777" w:rsidR="00733C4F" w:rsidRDefault="00733C4F" w:rsidP="00733C4F">
      <w:pPr>
        <w:ind w:left="720"/>
        <w:jc w:val="both"/>
        <w:rPr>
          <w:rFonts w:ascii="Times New Roman" w:hAnsi="Times New Roman"/>
          <w:sz w:val="24"/>
          <w:szCs w:val="24"/>
        </w:rPr>
      </w:pPr>
      <w:r>
        <w:rPr>
          <w:rStyle w:val="FootnoteReference"/>
          <w:rFonts w:ascii="Times New Roman" w:hAnsi="Times New Roman"/>
          <w:sz w:val="24"/>
          <w:szCs w:val="24"/>
        </w:rPr>
        <w:footnoteReference w:id="17"/>
      </w:r>
      <w:r>
        <w:rPr>
          <w:rFonts w:ascii="Times New Roman" w:hAnsi="Times New Roman"/>
          <w:sz w:val="24"/>
          <w:szCs w:val="24"/>
        </w:rPr>
        <w:t>[</w:t>
      </w:r>
      <w:r w:rsidRPr="00731F05">
        <w:rPr>
          <w:rFonts w:ascii="Times New Roman" w:hAnsi="Times New Roman"/>
          <w:sz w:val="24"/>
          <w:szCs w:val="24"/>
        </w:rPr>
        <w:t>Provided also that the determination of the petroleum and petroleum product pipeline transportation tariff under this regulations shall be benchmarked against the goods tariff table of the railways as applicable on the date of the coming into force of the Petroleum and Natural Gas Regulatory Board (Determination of Petroleum and Petroleum Products Pipeline Transportation Tariff) Amendment Regulations, 2018 and if the goods tariff table of the railways is revised during the further extended period of transition, the Board may consider the benchmarking of the petroleum and petroleum products transportation tariff against such revision.</w:t>
      </w:r>
      <w:r>
        <w:rPr>
          <w:rFonts w:ascii="Times New Roman" w:hAnsi="Times New Roman"/>
          <w:sz w:val="24"/>
          <w:szCs w:val="24"/>
        </w:rPr>
        <w:t>]</w:t>
      </w:r>
    </w:p>
    <w:p w14:paraId="54A5978D" w14:textId="77777777" w:rsidR="00733C4F" w:rsidRDefault="00733C4F" w:rsidP="004516B6">
      <w:pPr>
        <w:ind w:left="720"/>
        <w:jc w:val="both"/>
        <w:rPr>
          <w:rFonts w:ascii="Times New Roman" w:hAnsi="Times New Roman"/>
          <w:sz w:val="24"/>
          <w:szCs w:val="24"/>
        </w:rPr>
      </w:pPr>
      <w:r>
        <w:rPr>
          <w:rStyle w:val="FootnoteReference"/>
          <w:rFonts w:ascii="Times New Roman" w:hAnsi="Times New Roman"/>
          <w:sz w:val="24"/>
          <w:szCs w:val="24"/>
        </w:rPr>
        <w:footnoteReference w:id="18"/>
      </w:r>
      <w:r>
        <w:rPr>
          <w:rFonts w:ascii="Times New Roman" w:hAnsi="Times New Roman"/>
          <w:sz w:val="24"/>
          <w:szCs w:val="24"/>
        </w:rPr>
        <w:t>[</w:t>
      </w:r>
      <w:r w:rsidRPr="004E16E3">
        <w:rPr>
          <w:rFonts w:ascii="Times New Roman" w:hAnsi="Times New Roman"/>
          <w:sz w:val="24"/>
          <w:szCs w:val="24"/>
        </w:rPr>
        <w:t xml:space="preserve">Provided also that the determination of the petroleum and petroleum product pipeline transportation tariff under this regulation shall be benchmarked against the goods tariff table of the railways as applicable on the date of the coming into force of the Petroleum and Natural Gas Regulatory Board (Determination of Petroleum and Petroleum Products Pipeline Transportation Tariff) Amendment Regulations, 2019 and if the goods tariff table of the railways is revised during the further extended period of transition, the Board may </w:t>
      </w:r>
      <w:r w:rsidRPr="004E16E3">
        <w:rPr>
          <w:rFonts w:ascii="Times New Roman" w:hAnsi="Times New Roman"/>
          <w:sz w:val="24"/>
          <w:szCs w:val="24"/>
        </w:rPr>
        <w:lastRenderedPageBreak/>
        <w:t>consider the benchmarking of the petroleum and petroleum products transportation tariff against such revision.</w:t>
      </w:r>
      <w:r>
        <w:rPr>
          <w:rFonts w:ascii="Times New Roman" w:hAnsi="Times New Roman"/>
          <w:sz w:val="24"/>
          <w:szCs w:val="24"/>
        </w:rPr>
        <w:t>]</w:t>
      </w:r>
    </w:p>
    <w:p w14:paraId="6FB3E917" w14:textId="77777777" w:rsidR="00733C4F" w:rsidRDefault="00733C4F" w:rsidP="004516B6">
      <w:pPr>
        <w:ind w:left="720"/>
        <w:jc w:val="both"/>
        <w:rPr>
          <w:rFonts w:ascii="Times New Roman" w:hAnsi="Times New Roman"/>
          <w:sz w:val="24"/>
          <w:szCs w:val="24"/>
        </w:rPr>
      </w:pPr>
      <w:r>
        <w:rPr>
          <w:rStyle w:val="FootnoteReference"/>
          <w:rFonts w:ascii="Times New Roman" w:hAnsi="Times New Roman"/>
          <w:sz w:val="24"/>
          <w:szCs w:val="24"/>
        </w:rPr>
        <w:footnoteReference w:id="19"/>
      </w:r>
      <w:r w:rsidRPr="00F67CA6">
        <w:rPr>
          <w:rFonts w:ascii="Times New Roman" w:hAnsi="Times New Roman"/>
          <w:sz w:val="24"/>
          <w:szCs w:val="24"/>
        </w:rPr>
        <w:t>[</w:t>
      </w:r>
      <w:bookmarkStart w:id="1" w:name="_Hlk27039298"/>
      <w:r w:rsidRPr="00F67CA6">
        <w:rPr>
          <w:rFonts w:ascii="Times New Roman" w:hAnsi="Times New Roman"/>
          <w:sz w:val="24"/>
          <w:szCs w:val="24"/>
        </w:rPr>
        <w:t>Provided also that the determination of the petroleum and petroleum product pipeline transportation tariff under this regulation shall be benchmarked against the goods tariff table of the railways as applicable on the date of the coming into force of the Petroleum and Natural Gas Regulatory Board (Determination of Petroleum and Petroleum Products Pipeline Transportation Tariff) Amendment Regulations, 2020 and if the goods tariff table of the railways is revised during the further extended period of transition, the Board may consider the benchmarking of the petroleum and petroleum products transportation tariff against such revision.</w:t>
      </w:r>
      <w:bookmarkEnd w:id="1"/>
      <w:r w:rsidRPr="00F67CA6">
        <w:rPr>
          <w:rFonts w:ascii="Times New Roman" w:hAnsi="Times New Roman"/>
          <w:sz w:val="24"/>
          <w:szCs w:val="24"/>
        </w:rPr>
        <w:t>]</w:t>
      </w:r>
    </w:p>
    <w:p w14:paraId="640214A2" w14:textId="77777777" w:rsidR="00733C4F" w:rsidRDefault="00733C4F" w:rsidP="004516B6">
      <w:pPr>
        <w:ind w:left="720"/>
        <w:jc w:val="both"/>
        <w:rPr>
          <w:rFonts w:ascii="Times New Roman" w:hAnsi="Times New Roman"/>
          <w:sz w:val="24"/>
          <w:szCs w:val="24"/>
        </w:rPr>
      </w:pPr>
      <w:r>
        <w:rPr>
          <w:rStyle w:val="FootnoteReference"/>
          <w:rFonts w:ascii="Times New Roman" w:hAnsi="Times New Roman"/>
          <w:sz w:val="24"/>
          <w:szCs w:val="24"/>
        </w:rPr>
        <w:footnoteReference w:id="20"/>
      </w:r>
      <w:r w:rsidRPr="007E4840">
        <w:rPr>
          <w:rFonts w:ascii="Times New Roman" w:hAnsi="Times New Roman"/>
          <w:sz w:val="24"/>
          <w:szCs w:val="24"/>
        </w:rPr>
        <w:t>[Provided also that the determination of the petroleum and petroleum product pipeline transportation tariff under this regulation shall be benchmarked against the goods tariff table of the railways as applicable on the date of the coming into force of the Petroleum and Natural Gas Regulatory Board (Determination of Petroleum and Petroleum Products Pipeline Transportation Tariff) Second Amendment Regulations, 2020 and if the goods tariff table of the railways is revised during the further extended period of transition, the Board may consider the benchmarking of the petroleum and petroleum products transportation tariff against such revision.]</w:t>
      </w:r>
      <w:r w:rsidRPr="00B51242">
        <w:rPr>
          <w:rFonts w:ascii="Times New Roman" w:hAnsi="Times New Roman"/>
          <w:sz w:val="24"/>
          <w:szCs w:val="24"/>
        </w:rPr>
        <w:t xml:space="preserve"> </w:t>
      </w:r>
    </w:p>
    <w:p w14:paraId="3EDE7FAA" w14:textId="308CC002" w:rsidR="00733C4F" w:rsidRDefault="00733C4F" w:rsidP="004516B6">
      <w:pPr>
        <w:ind w:left="720"/>
        <w:jc w:val="both"/>
        <w:rPr>
          <w:rFonts w:ascii="Times New Roman" w:hAnsi="Times New Roman"/>
          <w:sz w:val="24"/>
          <w:szCs w:val="24"/>
        </w:rPr>
      </w:pPr>
      <w:r>
        <w:rPr>
          <w:rStyle w:val="FootnoteReference"/>
          <w:rFonts w:ascii="Times New Roman" w:hAnsi="Times New Roman"/>
          <w:sz w:val="24"/>
          <w:szCs w:val="24"/>
        </w:rPr>
        <w:footnoteReference w:id="21"/>
      </w:r>
      <w:r w:rsidRPr="00B51242">
        <w:rPr>
          <w:rFonts w:ascii="Times New Roman" w:hAnsi="Times New Roman"/>
          <w:sz w:val="24"/>
          <w:szCs w:val="24"/>
        </w:rPr>
        <w:t>[Provided also that the determination of the petroleum and petroleum products pipeline transportation tariff under this regulation shall be benchmarked against the goods tariff table of the railways as applicable on the date of the coming into force of the Petroleum and Natural Gas Regulatory Board (Determination of Petroleum and Petroleum Products Pipeline Transportation Tariff) Third Amendment Regulations, 2020 and if the goods tariff table of the railways is revised during the further extended period of transition, the Board may consider the benchmarking of the petroleum and petroleum products transportation tariff against such revision.</w:t>
      </w:r>
      <w:r>
        <w:rPr>
          <w:rFonts w:ascii="Times New Roman" w:hAnsi="Times New Roman"/>
          <w:sz w:val="24"/>
          <w:szCs w:val="24"/>
        </w:rPr>
        <w:t>]</w:t>
      </w:r>
    </w:p>
    <w:p w14:paraId="22AED436" w14:textId="29E32178" w:rsidR="0095663A" w:rsidRDefault="0095663A" w:rsidP="004516B6">
      <w:pPr>
        <w:ind w:left="720"/>
        <w:jc w:val="both"/>
        <w:rPr>
          <w:rFonts w:ascii="Times New Roman" w:hAnsi="Times New Roman"/>
          <w:sz w:val="24"/>
          <w:szCs w:val="24"/>
        </w:rPr>
      </w:pPr>
      <w:r>
        <w:rPr>
          <w:rStyle w:val="FootnoteReference"/>
          <w:rFonts w:ascii="Times New Roman" w:hAnsi="Times New Roman"/>
          <w:sz w:val="24"/>
          <w:szCs w:val="24"/>
        </w:rPr>
        <w:footnoteReference w:id="22"/>
      </w:r>
      <w:r>
        <w:rPr>
          <w:rFonts w:ascii="Times New Roman" w:hAnsi="Times New Roman"/>
          <w:sz w:val="24"/>
          <w:szCs w:val="24"/>
        </w:rPr>
        <w:t>[</w:t>
      </w:r>
      <w:r w:rsidRPr="0095663A">
        <w:rPr>
          <w:rFonts w:ascii="Times New Roman" w:hAnsi="Times New Roman"/>
          <w:sz w:val="24"/>
          <w:szCs w:val="24"/>
        </w:rPr>
        <w:t xml:space="preserve">Provided also that the determination of the petroleum and petroleum products pipeline transportation tariff under this regulation shall be benchmarked against the goods tariff table of the railways as applicable on the date of the coming into force of the Petroleum and Natural Gas Regulatory Board (Determination of Petroleum and Petroleum Products </w:t>
      </w:r>
      <w:r w:rsidRPr="0095663A">
        <w:rPr>
          <w:rFonts w:ascii="Times New Roman" w:hAnsi="Times New Roman"/>
          <w:sz w:val="24"/>
          <w:szCs w:val="24"/>
        </w:rPr>
        <w:lastRenderedPageBreak/>
        <w:t>Pipeline Transportation Tariff) Fourth Amendment Regulations, 2020 and if the goods tariff table of the railways is revised during the further extended period of transition, the Board may consider the benchmarking of the petroleum and petroleum products transportation tariff against such revision.”</w:t>
      </w:r>
      <w:r>
        <w:rPr>
          <w:rFonts w:ascii="Times New Roman" w:hAnsi="Times New Roman"/>
          <w:sz w:val="24"/>
          <w:szCs w:val="24"/>
        </w:rPr>
        <w:t>]</w:t>
      </w:r>
    </w:p>
    <w:p w14:paraId="0987B24B" w14:textId="2C40F57E" w:rsidR="00F501F0" w:rsidRDefault="00F501F0" w:rsidP="004516B6">
      <w:pPr>
        <w:autoSpaceDE w:val="0"/>
        <w:autoSpaceDN w:val="0"/>
        <w:adjustRightInd w:val="0"/>
        <w:spacing w:after="0" w:line="240" w:lineRule="auto"/>
        <w:ind w:left="709" w:hanging="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Style w:val="FootnoteReference"/>
          <w:rFonts w:ascii="Times New Roman" w:hAnsi="Times New Roman"/>
          <w:sz w:val="24"/>
          <w:szCs w:val="24"/>
        </w:rPr>
        <w:footnoteReference w:id="23"/>
      </w:r>
      <w:r>
        <w:rPr>
          <w:rFonts w:ascii="Times New Roman" w:hAnsi="Times New Roman"/>
          <w:sz w:val="24"/>
          <w:szCs w:val="24"/>
        </w:rPr>
        <w:t>[</w:t>
      </w:r>
      <w:r w:rsidRPr="00F501F0">
        <w:rPr>
          <w:rFonts w:ascii="Times New Roman" w:hAnsi="Times New Roman"/>
          <w:sz w:val="24"/>
          <w:szCs w:val="24"/>
        </w:rPr>
        <w:t>Provided also that the determination of the petroleum and petroleum products pipeline transportation tariff</w:t>
      </w:r>
      <w:r>
        <w:rPr>
          <w:rFonts w:ascii="Times New Roman" w:hAnsi="Times New Roman"/>
          <w:sz w:val="24"/>
          <w:szCs w:val="24"/>
        </w:rPr>
        <w:t xml:space="preserve"> </w:t>
      </w:r>
      <w:r w:rsidRPr="00F501F0">
        <w:rPr>
          <w:rFonts w:ascii="Times New Roman" w:hAnsi="Times New Roman"/>
          <w:sz w:val="24"/>
          <w:szCs w:val="24"/>
        </w:rPr>
        <w:t>under this regulation shall be benchmarked against the goods tariff table of</w:t>
      </w:r>
      <w:r>
        <w:rPr>
          <w:rFonts w:ascii="Times New Roman" w:hAnsi="Times New Roman"/>
          <w:sz w:val="24"/>
          <w:szCs w:val="24"/>
        </w:rPr>
        <w:t xml:space="preserve"> </w:t>
      </w:r>
      <w:r w:rsidRPr="00F501F0">
        <w:rPr>
          <w:rFonts w:ascii="Times New Roman" w:hAnsi="Times New Roman"/>
          <w:sz w:val="24"/>
          <w:szCs w:val="24"/>
        </w:rPr>
        <w:t>the railways as applicable on the</w:t>
      </w:r>
      <w:r>
        <w:rPr>
          <w:rFonts w:ascii="Times New Roman" w:hAnsi="Times New Roman"/>
          <w:sz w:val="24"/>
          <w:szCs w:val="24"/>
        </w:rPr>
        <w:t xml:space="preserve"> </w:t>
      </w:r>
      <w:r w:rsidRPr="00F501F0">
        <w:rPr>
          <w:rFonts w:ascii="Times New Roman" w:hAnsi="Times New Roman"/>
          <w:sz w:val="24"/>
          <w:szCs w:val="24"/>
        </w:rPr>
        <w:t>date of the coming into force of the Petroleum and Natural Gas Regulatory Board (De</w:t>
      </w:r>
      <w:r>
        <w:rPr>
          <w:rFonts w:ascii="Times New Roman" w:hAnsi="Times New Roman"/>
          <w:sz w:val="24"/>
          <w:szCs w:val="24"/>
        </w:rPr>
        <w:t xml:space="preserve">termination of </w:t>
      </w:r>
      <w:r w:rsidRPr="00F501F0">
        <w:rPr>
          <w:rFonts w:ascii="Times New Roman" w:hAnsi="Times New Roman"/>
          <w:sz w:val="24"/>
          <w:szCs w:val="24"/>
        </w:rPr>
        <w:t>Petroleum and Petroleum Products Pipeline Transportation Tariff) Amendme</w:t>
      </w:r>
      <w:r>
        <w:rPr>
          <w:rFonts w:ascii="Times New Roman" w:hAnsi="Times New Roman"/>
          <w:sz w:val="24"/>
          <w:szCs w:val="24"/>
        </w:rPr>
        <w:t xml:space="preserve">nt Regulations, 2021 and if the </w:t>
      </w:r>
      <w:r w:rsidRPr="00F501F0">
        <w:rPr>
          <w:rFonts w:ascii="Times New Roman" w:hAnsi="Times New Roman"/>
          <w:sz w:val="24"/>
          <w:szCs w:val="24"/>
        </w:rPr>
        <w:t>goods tariff table of the railways is revised during the further extended peri</w:t>
      </w:r>
      <w:r>
        <w:rPr>
          <w:rFonts w:ascii="Times New Roman" w:hAnsi="Times New Roman"/>
          <w:sz w:val="24"/>
          <w:szCs w:val="24"/>
        </w:rPr>
        <w:t xml:space="preserve">od of transition, the Board may </w:t>
      </w:r>
      <w:r w:rsidRPr="00F501F0">
        <w:rPr>
          <w:rFonts w:ascii="Times New Roman" w:hAnsi="Times New Roman"/>
          <w:sz w:val="24"/>
          <w:szCs w:val="24"/>
        </w:rPr>
        <w:t>consider the benchmarking of the petroleum and petroleum products tra</w:t>
      </w:r>
      <w:r>
        <w:rPr>
          <w:rFonts w:ascii="Times New Roman" w:hAnsi="Times New Roman"/>
          <w:sz w:val="24"/>
          <w:szCs w:val="24"/>
        </w:rPr>
        <w:t>nsportation tariff against such revision.]</w:t>
      </w:r>
    </w:p>
    <w:p w14:paraId="5316BCC3" w14:textId="0E8A7A87" w:rsidR="00BA0C61" w:rsidRDefault="00BA0C61" w:rsidP="004516B6">
      <w:pPr>
        <w:autoSpaceDE w:val="0"/>
        <w:autoSpaceDN w:val="0"/>
        <w:adjustRightInd w:val="0"/>
        <w:spacing w:after="0" w:line="240" w:lineRule="auto"/>
        <w:ind w:left="709" w:hanging="709"/>
        <w:jc w:val="both"/>
        <w:rPr>
          <w:rFonts w:ascii="Times New Roman" w:hAnsi="Times New Roman"/>
          <w:sz w:val="24"/>
          <w:szCs w:val="24"/>
        </w:rPr>
      </w:pPr>
    </w:p>
    <w:p w14:paraId="718B4A42" w14:textId="2DA18534" w:rsidR="00BA0C61" w:rsidRDefault="00BA0C61" w:rsidP="004516B6">
      <w:pPr>
        <w:autoSpaceDE w:val="0"/>
        <w:autoSpaceDN w:val="0"/>
        <w:adjustRightInd w:val="0"/>
        <w:spacing w:after="0" w:line="240" w:lineRule="auto"/>
        <w:ind w:left="709"/>
        <w:jc w:val="both"/>
        <w:rPr>
          <w:rFonts w:ascii="Times New Roman" w:hAnsi="Times New Roman"/>
          <w:sz w:val="24"/>
          <w:szCs w:val="24"/>
        </w:rPr>
      </w:pPr>
      <w:r>
        <w:rPr>
          <w:rStyle w:val="FootnoteReference"/>
          <w:rFonts w:ascii="Times New Roman" w:hAnsi="Times New Roman"/>
          <w:sz w:val="24"/>
          <w:szCs w:val="24"/>
        </w:rPr>
        <w:footnoteReference w:id="24"/>
      </w:r>
      <w:r>
        <w:rPr>
          <w:rFonts w:ascii="Times New Roman" w:hAnsi="Times New Roman"/>
          <w:sz w:val="24"/>
          <w:szCs w:val="24"/>
        </w:rPr>
        <w:t>[</w:t>
      </w:r>
      <w:r w:rsidR="005C086C" w:rsidRPr="00A2069A">
        <w:rPr>
          <w:rFonts w:ascii="Times New Roman" w:hAnsi="Times New Roman"/>
          <w:sz w:val="24"/>
          <w:szCs w:val="24"/>
        </w:rPr>
        <w:t xml:space="preserve">Provided also that the determination of the petroleum and petroleum products pipeline transportation tariff under this regulation shall be benchmarked against the goods tariff table of the railways as applicable on the date of the coming </w:t>
      </w:r>
      <w:r w:rsidR="00A2069A" w:rsidRPr="00A2069A">
        <w:rPr>
          <w:rFonts w:ascii="Times New Roman" w:hAnsi="Times New Roman"/>
          <w:sz w:val="24"/>
          <w:szCs w:val="24"/>
        </w:rPr>
        <w:t>into force of the Petroleum and Natural Gas Regulatory Board (Determination of Petroleum and Petroleum Products Pipeline Transportation Tariff) Amendment Regulations, 2023 and if the goods tariff table of the railways is revised during the further extended period of transition, the Board may consider the benchmarking of the petroleum and petroleum products transportation tariff against such revision.</w:t>
      </w:r>
      <w:r>
        <w:rPr>
          <w:rFonts w:ascii="Times New Roman" w:hAnsi="Times New Roman"/>
          <w:sz w:val="24"/>
          <w:szCs w:val="24"/>
        </w:rPr>
        <w:t>]</w:t>
      </w:r>
    </w:p>
    <w:p w14:paraId="5954B09B" w14:textId="77777777" w:rsidR="0095663A" w:rsidRPr="007E4840" w:rsidRDefault="0095663A" w:rsidP="00733C4F">
      <w:pPr>
        <w:ind w:left="720"/>
        <w:jc w:val="both"/>
        <w:rPr>
          <w:rFonts w:ascii="Times New Roman" w:hAnsi="Times New Roman"/>
          <w:sz w:val="24"/>
          <w:szCs w:val="24"/>
        </w:rPr>
      </w:pPr>
    </w:p>
    <w:p w14:paraId="78D47D6A" w14:textId="77777777" w:rsidR="00733C4F" w:rsidRDefault="00733C4F" w:rsidP="00F501F0">
      <w:pPr>
        <w:jc w:val="both"/>
        <w:rPr>
          <w:rFonts w:ascii="Times New Roman" w:hAnsi="Times New Roman"/>
          <w:b/>
          <w:sz w:val="24"/>
          <w:szCs w:val="24"/>
        </w:rPr>
      </w:pPr>
      <w:r>
        <w:rPr>
          <w:rStyle w:val="FootnoteReference"/>
          <w:rFonts w:ascii="Times New Roman" w:hAnsi="Times New Roman"/>
          <w:bCs/>
          <w:sz w:val="24"/>
          <w:szCs w:val="24"/>
        </w:rPr>
        <w:footnoteReference w:id="25"/>
      </w:r>
      <w:r>
        <w:rPr>
          <w:rFonts w:ascii="Times New Roman" w:hAnsi="Times New Roman"/>
          <w:bCs/>
          <w:sz w:val="24"/>
          <w:szCs w:val="24"/>
        </w:rPr>
        <w:t>[</w:t>
      </w:r>
      <w:r>
        <w:rPr>
          <w:rFonts w:ascii="Times New Roman" w:hAnsi="Times New Roman"/>
          <w:b/>
          <w:sz w:val="24"/>
          <w:szCs w:val="24"/>
        </w:rPr>
        <w:t>6. Miscellaneous</w:t>
      </w:r>
    </w:p>
    <w:p w14:paraId="0ADC317D" w14:textId="77777777" w:rsidR="00733C4F" w:rsidRDefault="00733C4F" w:rsidP="00733C4F">
      <w:pPr>
        <w:ind w:left="567"/>
        <w:jc w:val="both"/>
        <w:rPr>
          <w:rFonts w:ascii="Times New Roman" w:hAnsi="Times New Roman"/>
          <w:sz w:val="24"/>
          <w:szCs w:val="24"/>
        </w:rPr>
      </w:pPr>
      <w:r>
        <w:rPr>
          <w:rFonts w:ascii="Times New Roman" w:hAnsi="Times New Roman"/>
          <w:sz w:val="24"/>
          <w:szCs w:val="24"/>
        </w:rPr>
        <w:t>If any question arises as to the interpretation of these regulations, the same shall be decided by the Board.]</w:t>
      </w:r>
    </w:p>
    <w:p w14:paraId="3C634421" w14:textId="77777777" w:rsidR="00733C4F" w:rsidRDefault="00733C4F" w:rsidP="00733C4F">
      <w:pPr>
        <w:widowControl w:val="0"/>
        <w:autoSpaceDE w:val="0"/>
        <w:autoSpaceDN w:val="0"/>
        <w:adjustRightInd w:val="0"/>
        <w:spacing w:after="0" w:line="225" w:lineRule="exact"/>
        <w:ind w:left="1701" w:right="123" w:hanging="1134"/>
        <w:jc w:val="both"/>
        <w:rPr>
          <w:rFonts w:ascii="Times New Roman" w:hAnsi="Times New Roman"/>
          <w:b/>
          <w:bCs/>
          <w:sz w:val="24"/>
          <w:szCs w:val="24"/>
        </w:rPr>
      </w:pPr>
    </w:p>
    <w:p w14:paraId="473976E9" w14:textId="468453A0" w:rsidR="00733C4F" w:rsidRPr="00521B37" w:rsidRDefault="00733C4F" w:rsidP="00733C4F">
      <w:pPr>
        <w:pStyle w:val="Default"/>
        <w:spacing w:after="200"/>
        <w:ind w:left="1560" w:hanging="1134"/>
        <w:jc w:val="both"/>
        <w:rPr>
          <w:rFonts w:ascii="Times New Roman" w:hAnsi="Times New Roman"/>
        </w:rPr>
      </w:pPr>
      <w:r w:rsidRPr="000B3714">
        <w:rPr>
          <w:rFonts w:ascii="Times New Roman" w:hAnsi="Times New Roman"/>
          <w:b/>
          <w:bCs/>
        </w:rPr>
        <w:t>Foot Note:</w:t>
      </w:r>
      <w:r>
        <w:rPr>
          <w:rFonts w:ascii="Times New Roman" w:hAnsi="Times New Roman"/>
          <w:b/>
          <w:bCs/>
        </w:rPr>
        <w:t xml:space="preserve"> </w:t>
      </w:r>
      <w:r w:rsidRPr="000B3714">
        <w:rPr>
          <w:rFonts w:ascii="Times New Roman" w:hAnsi="Times New Roman"/>
        </w:rPr>
        <w:t>Principal regulations were notified vide G.S.R. 987(E), dated 20</w:t>
      </w:r>
      <w:r w:rsidRPr="005412B9">
        <w:rPr>
          <w:rFonts w:ascii="Times New Roman" w:hAnsi="Times New Roman"/>
          <w:vertAlign w:val="superscript"/>
        </w:rPr>
        <w:t>th</w:t>
      </w:r>
      <w:r>
        <w:rPr>
          <w:rFonts w:ascii="Times New Roman" w:hAnsi="Times New Roman"/>
        </w:rPr>
        <w:t xml:space="preserve"> December, 2010, and amended </w:t>
      </w:r>
      <w:r w:rsidRPr="005412B9">
        <w:rPr>
          <w:rFonts w:ascii="Times New Roman" w:hAnsi="Times New Roman"/>
          <w:i/>
          <w:iCs/>
        </w:rPr>
        <w:t>vide</w:t>
      </w:r>
      <w:r>
        <w:rPr>
          <w:rFonts w:ascii="Times New Roman" w:hAnsi="Times New Roman"/>
        </w:rPr>
        <w:t xml:space="preserve"> F. No. PNGRB/M(C)/62/2012, dated 13</w:t>
      </w:r>
      <w:r w:rsidRPr="005412B9">
        <w:rPr>
          <w:rFonts w:ascii="Times New Roman" w:hAnsi="Times New Roman"/>
          <w:vertAlign w:val="superscript"/>
        </w:rPr>
        <w:t>th</w:t>
      </w:r>
      <w:r>
        <w:rPr>
          <w:rFonts w:ascii="Times New Roman" w:hAnsi="Times New Roman"/>
        </w:rPr>
        <w:t xml:space="preserve"> December, 2012 and F. No. PNGRB/M(C)/62/2014, dated 16</w:t>
      </w:r>
      <w:r w:rsidRPr="005412B9">
        <w:rPr>
          <w:rFonts w:ascii="Times New Roman" w:hAnsi="Times New Roman"/>
          <w:vertAlign w:val="superscript"/>
        </w:rPr>
        <w:t>th</w:t>
      </w:r>
      <w:r>
        <w:rPr>
          <w:rFonts w:ascii="Times New Roman" w:hAnsi="Times New Roman"/>
        </w:rPr>
        <w:t xml:space="preserve"> December, 2014 and F. No. L-MISC/VI/I/2007, dated 01</w:t>
      </w:r>
      <w:r w:rsidRPr="00D263D3">
        <w:rPr>
          <w:rFonts w:ascii="Times New Roman" w:hAnsi="Times New Roman"/>
          <w:vertAlign w:val="superscript"/>
        </w:rPr>
        <w:t>st</w:t>
      </w:r>
      <w:r>
        <w:rPr>
          <w:rFonts w:ascii="Times New Roman" w:hAnsi="Times New Roman"/>
        </w:rPr>
        <w:t xml:space="preserve"> January, 2015 and F. No. PNGRB/M/(C)/62/2016, dated 19</w:t>
      </w:r>
      <w:r w:rsidRPr="00B84FA8">
        <w:rPr>
          <w:rFonts w:ascii="Times New Roman" w:hAnsi="Times New Roman"/>
          <w:vertAlign w:val="superscript"/>
        </w:rPr>
        <w:t>th</w:t>
      </w:r>
      <w:r>
        <w:rPr>
          <w:rFonts w:ascii="Times New Roman" w:hAnsi="Times New Roman"/>
        </w:rPr>
        <w:t xml:space="preserve"> December, 2016 and F. No. PNGRB/M(C)/62/2017, dated 19</w:t>
      </w:r>
      <w:r w:rsidRPr="005412B9">
        <w:rPr>
          <w:rFonts w:ascii="Times New Roman" w:hAnsi="Times New Roman"/>
          <w:vertAlign w:val="superscript"/>
        </w:rPr>
        <w:t>th</w:t>
      </w:r>
      <w:r>
        <w:rPr>
          <w:rFonts w:ascii="Times New Roman" w:hAnsi="Times New Roman"/>
        </w:rPr>
        <w:t xml:space="preserve"> December, 2017 and PNGRB/M(C)/62/2018, dated 18</w:t>
      </w:r>
      <w:r w:rsidRPr="005412B9">
        <w:rPr>
          <w:rFonts w:ascii="Times New Roman" w:hAnsi="Times New Roman"/>
          <w:vertAlign w:val="superscript"/>
        </w:rPr>
        <w:t>th</w:t>
      </w:r>
      <w:r>
        <w:rPr>
          <w:rFonts w:ascii="Times New Roman" w:hAnsi="Times New Roman"/>
        </w:rPr>
        <w:t xml:space="preserve"> December, 2018 </w:t>
      </w:r>
      <w:r>
        <w:rPr>
          <w:rFonts w:ascii="Times New Roman" w:hAnsi="Times New Roman" w:cs="Times New Roman"/>
        </w:rPr>
        <w:t>and F. No. PNGRB/M/(C)/62/2019, dated 18</w:t>
      </w:r>
      <w:r w:rsidRPr="00FA4FC4">
        <w:rPr>
          <w:rFonts w:ascii="Times New Roman" w:hAnsi="Times New Roman" w:cs="Times New Roman"/>
          <w:vertAlign w:val="superscript"/>
        </w:rPr>
        <w:t>th</w:t>
      </w:r>
      <w:r>
        <w:rPr>
          <w:rFonts w:ascii="Times New Roman" w:hAnsi="Times New Roman" w:cs="Times New Roman"/>
        </w:rPr>
        <w:t xml:space="preserve"> April, 2019 </w:t>
      </w:r>
      <w:r w:rsidRPr="005F1BA8">
        <w:rPr>
          <w:rFonts w:ascii="Times New Roman" w:hAnsi="Times New Roman" w:cs="Times New Roman"/>
        </w:rPr>
        <w:t>and F. No. PNGRB/M(C)/62/2020,</w:t>
      </w:r>
      <w:r>
        <w:rPr>
          <w:rFonts w:ascii="Times New Roman" w:hAnsi="Times New Roman" w:cs="Times New Roman"/>
        </w:rPr>
        <w:t xml:space="preserve"> </w:t>
      </w:r>
      <w:r w:rsidRPr="005F1BA8">
        <w:rPr>
          <w:rFonts w:ascii="Times New Roman" w:hAnsi="Times New Roman" w:cs="Times New Roman"/>
        </w:rPr>
        <w:t>dated 19.02.2020</w:t>
      </w:r>
      <w:r>
        <w:rPr>
          <w:rFonts w:ascii="Times New Roman" w:hAnsi="Times New Roman" w:cs="Times New Roman"/>
        </w:rPr>
        <w:t xml:space="preserve"> and </w:t>
      </w:r>
      <w:r w:rsidRPr="007E4840">
        <w:rPr>
          <w:rFonts w:ascii="Times New Roman" w:hAnsi="Times New Roman" w:cs="Times New Roman"/>
        </w:rPr>
        <w:t>F. No. PNGRB/M(C)/62/2020</w:t>
      </w:r>
      <w:r>
        <w:rPr>
          <w:rFonts w:ascii="Times New Roman" w:hAnsi="Times New Roman" w:cs="Times New Roman"/>
        </w:rPr>
        <w:t>, dated 27</w:t>
      </w:r>
      <w:r w:rsidRPr="007E4840">
        <w:rPr>
          <w:rFonts w:ascii="Times New Roman" w:hAnsi="Times New Roman" w:cs="Times New Roman"/>
          <w:vertAlign w:val="superscript"/>
        </w:rPr>
        <w:t>th</w:t>
      </w:r>
      <w:r>
        <w:rPr>
          <w:rFonts w:ascii="Times New Roman" w:hAnsi="Times New Roman" w:cs="Times New Roman"/>
        </w:rPr>
        <w:t xml:space="preserve"> March, 2020 and </w:t>
      </w:r>
      <w:r w:rsidRPr="00DD7958">
        <w:rPr>
          <w:rFonts w:ascii="Times New Roman" w:hAnsi="Times New Roman" w:cs="Times New Roman"/>
        </w:rPr>
        <w:t>F. No. PNGRB/M(C)/62/2020</w:t>
      </w:r>
      <w:r>
        <w:rPr>
          <w:rFonts w:ascii="Times New Roman" w:hAnsi="Times New Roman" w:cs="Times New Roman"/>
        </w:rPr>
        <w:t>, dated 30</w:t>
      </w:r>
      <w:r w:rsidRPr="00DD7958">
        <w:rPr>
          <w:rFonts w:ascii="Times New Roman" w:hAnsi="Times New Roman" w:cs="Times New Roman"/>
          <w:vertAlign w:val="superscript"/>
        </w:rPr>
        <w:t>th</w:t>
      </w:r>
      <w:r>
        <w:rPr>
          <w:rFonts w:ascii="Times New Roman" w:hAnsi="Times New Roman" w:cs="Times New Roman"/>
        </w:rPr>
        <w:t xml:space="preserve"> June, 2020</w:t>
      </w:r>
      <w:r w:rsidR="0095663A">
        <w:rPr>
          <w:rFonts w:ascii="Times New Roman" w:hAnsi="Times New Roman" w:cs="Times New Roman"/>
        </w:rPr>
        <w:t xml:space="preserve">, </w:t>
      </w:r>
      <w:r w:rsidR="0095663A" w:rsidRPr="0095663A">
        <w:rPr>
          <w:rFonts w:ascii="Times New Roman" w:hAnsi="Times New Roman" w:cs="Times New Roman"/>
        </w:rPr>
        <w:lastRenderedPageBreak/>
        <w:t>F. No. PNGRB/COM/3-PPPL Tariff (1)/2012 Vol-IV (P-1018)</w:t>
      </w:r>
      <w:r w:rsidR="0095663A">
        <w:rPr>
          <w:rFonts w:ascii="Times New Roman" w:hAnsi="Times New Roman" w:cs="Times New Roman"/>
        </w:rPr>
        <w:t>, dated 28</w:t>
      </w:r>
      <w:r w:rsidR="0095663A" w:rsidRPr="0095663A">
        <w:rPr>
          <w:rFonts w:ascii="Times New Roman" w:hAnsi="Times New Roman" w:cs="Times New Roman"/>
          <w:vertAlign w:val="superscript"/>
        </w:rPr>
        <w:t>th</w:t>
      </w:r>
      <w:r w:rsidR="0095663A">
        <w:rPr>
          <w:rFonts w:ascii="Times New Roman" w:hAnsi="Times New Roman" w:cs="Times New Roman"/>
        </w:rPr>
        <w:t xml:space="preserve"> </w:t>
      </w:r>
      <w:r w:rsidR="0095663A" w:rsidRPr="00521B37">
        <w:rPr>
          <w:rFonts w:ascii="Times New Roman" w:hAnsi="Times New Roman"/>
        </w:rPr>
        <w:t>September, 2020</w:t>
      </w:r>
      <w:r w:rsidR="00906541">
        <w:rPr>
          <w:rFonts w:ascii="Times New Roman" w:hAnsi="Times New Roman"/>
        </w:rPr>
        <w:t>,</w:t>
      </w:r>
      <w:r w:rsidR="00521B37" w:rsidRPr="00521B37">
        <w:rPr>
          <w:rFonts w:ascii="Times New Roman" w:hAnsi="Times New Roman"/>
        </w:rPr>
        <w:t xml:space="preserve"> PNG RB/COM/3-PPPL Tariff (1)/2012 Vol.-IV (P-1018), dated 14</w:t>
      </w:r>
      <w:r w:rsidR="00521B37" w:rsidRPr="00C85F06">
        <w:rPr>
          <w:rFonts w:ascii="Times New Roman" w:hAnsi="Times New Roman"/>
          <w:vertAlign w:val="superscript"/>
        </w:rPr>
        <w:t>th</w:t>
      </w:r>
      <w:r w:rsidR="00906541">
        <w:rPr>
          <w:rFonts w:ascii="Times New Roman" w:hAnsi="Times New Roman"/>
        </w:rPr>
        <w:t xml:space="preserve"> December, 2021 and </w:t>
      </w:r>
      <w:r w:rsidR="00906541" w:rsidRPr="00906541">
        <w:rPr>
          <w:rFonts w:ascii="Times New Roman" w:hAnsi="Times New Roman"/>
        </w:rPr>
        <w:t xml:space="preserve">F. No. PNGRB/COM/3-PPPL </w:t>
      </w:r>
      <w:r w:rsidR="00906541">
        <w:rPr>
          <w:rFonts w:ascii="Times New Roman" w:hAnsi="Times New Roman"/>
        </w:rPr>
        <w:t>Tariff (1)/2012 Vol-V (P-4397), dated 20</w:t>
      </w:r>
      <w:r w:rsidR="00906541" w:rsidRPr="00906541">
        <w:rPr>
          <w:rFonts w:ascii="Times New Roman" w:hAnsi="Times New Roman"/>
          <w:vertAlign w:val="superscript"/>
        </w:rPr>
        <w:t>th</w:t>
      </w:r>
      <w:r w:rsidR="00906541">
        <w:rPr>
          <w:rFonts w:ascii="Times New Roman" w:hAnsi="Times New Roman"/>
        </w:rPr>
        <w:t xml:space="preserve"> September, 2023.</w:t>
      </w:r>
    </w:p>
    <w:p w14:paraId="0293A915" w14:textId="77777777" w:rsidR="00733C4F" w:rsidRDefault="00733C4F" w:rsidP="00733C4F"/>
    <w:p w14:paraId="75CA3556" w14:textId="77777777" w:rsidR="00733C4F" w:rsidRDefault="00733C4F" w:rsidP="00733C4F"/>
    <w:p w14:paraId="696D129D" w14:textId="77777777" w:rsidR="00733C4F" w:rsidRDefault="00733C4F" w:rsidP="00733C4F"/>
    <w:p w14:paraId="186FF0DF" w14:textId="77777777" w:rsidR="00733C4F" w:rsidRDefault="00733C4F" w:rsidP="00733C4F"/>
    <w:p w14:paraId="19785AB4" w14:textId="77777777" w:rsidR="00733C4F" w:rsidRDefault="00733C4F" w:rsidP="00733C4F"/>
    <w:p w14:paraId="64303F69" w14:textId="77777777" w:rsidR="00FE697D" w:rsidRDefault="00FE697D"/>
    <w:sectPr w:rsidR="00FE697D" w:rsidSect="00E8764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5753A" w14:textId="77777777" w:rsidR="00990103" w:rsidRDefault="00990103" w:rsidP="00733C4F">
      <w:pPr>
        <w:spacing w:after="0" w:line="240" w:lineRule="auto"/>
      </w:pPr>
      <w:r>
        <w:separator/>
      </w:r>
    </w:p>
  </w:endnote>
  <w:endnote w:type="continuationSeparator" w:id="0">
    <w:p w14:paraId="1C38ECFB" w14:textId="77777777" w:rsidR="00990103" w:rsidRDefault="00990103" w:rsidP="00733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87EF0" w14:textId="52067F33" w:rsidR="002051F5" w:rsidRDefault="0095663A">
    <w:pPr>
      <w:pStyle w:val="Footer"/>
      <w:jc w:val="right"/>
    </w:pPr>
    <w:r>
      <w:fldChar w:fldCharType="begin"/>
    </w:r>
    <w:r>
      <w:instrText xml:space="preserve"> PAGE   \* MERGEFORMAT </w:instrText>
    </w:r>
    <w:r>
      <w:fldChar w:fldCharType="separate"/>
    </w:r>
    <w:r w:rsidR="004516B6">
      <w:rPr>
        <w:noProof/>
      </w:rPr>
      <w:t>1</w:t>
    </w:r>
    <w:r>
      <w:rPr>
        <w:noProof/>
      </w:rPr>
      <w:fldChar w:fldCharType="end"/>
    </w:r>
  </w:p>
  <w:p w14:paraId="6BEA80FF" w14:textId="77777777" w:rsidR="002051F5" w:rsidRDefault="0099010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19998" w14:textId="77777777" w:rsidR="00990103" w:rsidRDefault="00990103" w:rsidP="00733C4F">
      <w:pPr>
        <w:spacing w:after="0" w:line="240" w:lineRule="auto"/>
      </w:pPr>
      <w:r>
        <w:separator/>
      </w:r>
    </w:p>
  </w:footnote>
  <w:footnote w:type="continuationSeparator" w:id="0">
    <w:p w14:paraId="6E0FD071" w14:textId="77777777" w:rsidR="00990103" w:rsidRDefault="00990103" w:rsidP="00733C4F">
      <w:pPr>
        <w:spacing w:after="0" w:line="240" w:lineRule="auto"/>
      </w:pPr>
      <w:r>
        <w:continuationSeparator/>
      </w:r>
    </w:p>
  </w:footnote>
  <w:footnote w:id="1">
    <w:p w14:paraId="393C6E01" w14:textId="77777777" w:rsidR="00733C4F" w:rsidRDefault="00733C4F" w:rsidP="00733C4F">
      <w:pPr>
        <w:pStyle w:val="FootnoteText"/>
        <w:jc w:val="both"/>
        <w:rPr>
          <w:rFonts w:ascii="Times New Roman" w:hAnsi="Times New Roman"/>
        </w:rPr>
      </w:pPr>
      <w:r>
        <w:rPr>
          <w:rStyle w:val="FootnoteReference"/>
        </w:rPr>
        <w:footnoteRef/>
      </w:r>
      <w:r>
        <w:rPr>
          <w:rFonts w:ascii="Times New Roman" w:hAnsi="Times New Roman"/>
        </w:rPr>
        <w:t>Add. by Cl. (a) of reg. 2, the Petroleum and Natural Gas Regulatory Board (Determination of Petroleum and Petroleum Products Pipeline Transportation Tariff) Amendment Regulations, 2012 (</w:t>
      </w:r>
      <w:proofErr w:type="spellStart"/>
      <w:r>
        <w:rPr>
          <w:rFonts w:ascii="Times New Roman" w:hAnsi="Times New Roman"/>
        </w:rPr>
        <w:t>w.e.f</w:t>
      </w:r>
      <w:proofErr w:type="spellEnd"/>
      <w:r>
        <w:rPr>
          <w:rFonts w:ascii="Times New Roman" w:hAnsi="Times New Roman"/>
        </w:rPr>
        <w:t xml:space="preserve">. 20.12.12). </w:t>
      </w:r>
    </w:p>
  </w:footnote>
  <w:footnote w:id="2">
    <w:p w14:paraId="5E54E232" w14:textId="77777777" w:rsidR="00733C4F" w:rsidRDefault="00733C4F" w:rsidP="00733C4F">
      <w:pPr>
        <w:pStyle w:val="FootnoteText"/>
        <w:jc w:val="both"/>
        <w:rPr>
          <w:lang w:val="en-IN"/>
        </w:rPr>
      </w:pPr>
      <w:r>
        <w:rPr>
          <w:rStyle w:val="FootnoteReference"/>
        </w:rPr>
        <w:footnoteRef/>
      </w:r>
      <w:r>
        <w:rPr>
          <w:rFonts w:ascii="Times New Roman" w:hAnsi="Times New Roman"/>
        </w:rPr>
        <w:t>Add. by Cl. (a) of reg. 2, the Petroleum and Natural Gas Regulatory Board (Determination of Petroleum and Petroleum Products Pipeline Transportation Tariff) Amendment Regulations, 2014 (</w:t>
      </w:r>
      <w:proofErr w:type="spellStart"/>
      <w:r>
        <w:rPr>
          <w:rFonts w:ascii="Times New Roman" w:hAnsi="Times New Roman"/>
        </w:rPr>
        <w:t>w.e.f</w:t>
      </w:r>
      <w:proofErr w:type="spellEnd"/>
      <w:r>
        <w:rPr>
          <w:rFonts w:ascii="Times New Roman" w:hAnsi="Times New Roman"/>
        </w:rPr>
        <w:t>. 20.12.14).</w:t>
      </w:r>
    </w:p>
  </w:footnote>
  <w:footnote w:id="3">
    <w:p w14:paraId="79767D17" w14:textId="77777777" w:rsidR="00733C4F" w:rsidRPr="00CB0201" w:rsidRDefault="00733C4F" w:rsidP="00733C4F">
      <w:pPr>
        <w:pStyle w:val="FootnoteText"/>
        <w:jc w:val="both"/>
        <w:rPr>
          <w:lang w:val="en-IN"/>
        </w:rPr>
      </w:pPr>
      <w:r>
        <w:rPr>
          <w:rStyle w:val="FootnoteReference"/>
        </w:rPr>
        <w:footnoteRef/>
      </w:r>
      <w:r>
        <w:rPr>
          <w:rFonts w:ascii="Times New Roman" w:hAnsi="Times New Roman"/>
        </w:rPr>
        <w:t>Add. by Cl. (a) of reg. 2, the Petroleum and Natural Gas Regulatory Board (Determination of Petroleum and Petroleum Products Pipeline Transportation Tariff) Amendment Regulations, 2016 (</w:t>
      </w:r>
      <w:proofErr w:type="spellStart"/>
      <w:r>
        <w:rPr>
          <w:rFonts w:ascii="Times New Roman" w:hAnsi="Times New Roman"/>
        </w:rPr>
        <w:t>w.e.f</w:t>
      </w:r>
      <w:proofErr w:type="spellEnd"/>
      <w:r>
        <w:rPr>
          <w:rFonts w:ascii="Times New Roman" w:hAnsi="Times New Roman"/>
        </w:rPr>
        <w:t>. 20.12.16).</w:t>
      </w:r>
    </w:p>
  </w:footnote>
  <w:footnote w:id="4">
    <w:p w14:paraId="51A9CEE5" w14:textId="77777777" w:rsidR="00733C4F" w:rsidRPr="0073414C" w:rsidRDefault="00733C4F" w:rsidP="00733C4F">
      <w:pPr>
        <w:pStyle w:val="FootnoteText"/>
        <w:jc w:val="both"/>
        <w:rPr>
          <w:lang w:val="en-IN"/>
        </w:rPr>
      </w:pPr>
      <w:r>
        <w:rPr>
          <w:rStyle w:val="FootnoteReference"/>
        </w:rPr>
        <w:footnoteRef/>
      </w:r>
      <w:r>
        <w:rPr>
          <w:rFonts w:ascii="Times New Roman" w:hAnsi="Times New Roman"/>
        </w:rPr>
        <w:t>Add. by Cl. (a) of reg. 2, the Petroleum and Natural Gas Regulatory Board (Determination of Petroleum and Petroleum Products Pipeline Transportation Tariff) Amendment Regulations, 2017 (</w:t>
      </w:r>
      <w:proofErr w:type="spellStart"/>
      <w:r>
        <w:rPr>
          <w:rFonts w:ascii="Times New Roman" w:hAnsi="Times New Roman"/>
        </w:rPr>
        <w:t>w.e.f</w:t>
      </w:r>
      <w:proofErr w:type="spellEnd"/>
      <w:r>
        <w:rPr>
          <w:rFonts w:ascii="Times New Roman" w:hAnsi="Times New Roman"/>
        </w:rPr>
        <w:t>. 20.12.17).</w:t>
      </w:r>
    </w:p>
  </w:footnote>
  <w:footnote w:id="5">
    <w:p w14:paraId="7A7304A0" w14:textId="77777777" w:rsidR="00733C4F" w:rsidRPr="00731F05" w:rsidRDefault="00733C4F" w:rsidP="00733C4F">
      <w:pPr>
        <w:pStyle w:val="FootnoteText"/>
        <w:jc w:val="both"/>
        <w:rPr>
          <w:lang w:val="en-IN"/>
        </w:rPr>
      </w:pPr>
      <w:r>
        <w:rPr>
          <w:rStyle w:val="FootnoteReference"/>
        </w:rPr>
        <w:footnoteRef/>
      </w:r>
      <w:r>
        <w:rPr>
          <w:rFonts w:ascii="Times New Roman" w:hAnsi="Times New Roman"/>
        </w:rPr>
        <w:t>Add. by Cl. (a) of reg. 3, the Petroleum and Natural Gas Regulatory Board (Determination of Petroleum and Petroleum Products Pipeline Transportation Tariff) Amendment Regulations, 2018 (</w:t>
      </w:r>
      <w:proofErr w:type="spellStart"/>
      <w:r>
        <w:rPr>
          <w:rFonts w:ascii="Times New Roman" w:hAnsi="Times New Roman"/>
        </w:rPr>
        <w:t>w.e.f</w:t>
      </w:r>
      <w:proofErr w:type="spellEnd"/>
      <w:r>
        <w:rPr>
          <w:rFonts w:ascii="Times New Roman" w:hAnsi="Times New Roman"/>
        </w:rPr>
        <w:t>. 20.12.18).</w:t>
      </w:r>
    </w:p>
  </w:footnote>
  <w:footnote w:id="6">
    <w:p w14:paraId="29855B5F" w14:textId="77777777" w:rsidR="00733C4F" w:rsidRPr="004E16E3" w:rsidRDefault="00733C4F" w:rsidP="00733C4F">
      <w:pPr>
        <w:pStyle w:val="FootnoteText"/>
        <w:jc w:val="both"/>
        <w:rPr>
          <w:lang w:val="en-IN"/>
        </w:rPr>
      </w:pPr>
      <w:r>
        <w:rPr>
          <w:rStyle w:val="FootnoteReference"/>
        </w:rPr>
        <w:footnoteRef/>
      </w:r>
      <w:r>
        <w:rPr>
          <w:rFonts w:ascii="Times New Roman" w:hAnsi="Times New Roman"/>
        </w:rPr>
        <w:t>Add. by Cl. (a) of reg. 3, the Petroleum and Natural Gas Regulatory Board (Determination of Petroleum and Petroleum Products Pipeline Transportation Tariff) Amendment Regulations, 2019 (</w:t>
      </w:r>
      <w:proofErr w:type="spellStart"/>
      <w:r>
        <w:rPr>
          <w:rFonts w:ascii="Times New Roman" w:hAnsi="Times New Roman"/>
        </w:rPr>
        <w:t>w.e.f</w:t>
      </w:r>
      <w:proofErr w:type="spellEnd"/>
      <w:r>
        <w:rPr>
          <w:rFonts w:ascii="Times New Roman" w:hAnsi="Times New Roman"/>
        </w:rPr>
        <w:t>. 01.04.19).</w:t>
      </w:r>
    </w:p>
  </w:footnote>
  <w:footnote w:id="7">
    <w:p w14:paraId="7C0F1F0E" w14:textId="77777777" w:rsidR="00733C4F" w:rsidRDefault="00733C4F" w:rsidP="00733C4F">
      <w:pPr>
        <w:pStyle w:val="FootnoteText"/>
        <w:jc w:val="both"/>
      </w:pPr>
      <w:r>
        <w:rPr>
          <w:rStyle w:val="FootnoteReference"/>
        </w:rPr>
        <w:footnoteRef/>
      </w:r>
      <w:r>
        <w:t xml:space="preserve"> </w:t>
      </w:r>
      <w:r>
        <w:rPr>
          <w:rFonts w:ascii="Times New Roman" w:hAnsi="Times New Roman"/>
        </w:rPr>
        <w:t>Add. by Cl. (a) of reg. 3, the Petroleum and Natural Gas Regulatory Board (Determination of Petroleum and Petroleum Products Pipeline Transportation Tariff) Amendment Regulations, 2019 (</w:t>
      </w:r>
      <w:proofErr w:type="spellStart"/>
      <w:r>
        <w:rPr>
          <w:rFonts w:ascii="Times New Roman" w:hAnsi="Times New Roman"/>
        </w:rPr>
        <w:t>w.e.f</w:t>
      </w:r>
      <w:proofErr w:type="spellEnd"/>
      <w:r>
        <w:rPr>
          <w:rFonts w:ascii="Times New Roman" w:hAnsi="Times New Roman"/>
        </w:rPr>
        <w:t>. 19.02.2020).</w:t>
      </w:r>
    </w:p>
  </w:footnote>
  <w:footnote w:id="8">
    <w:p w14:paraId="6B274A3A" w14:textId="77777777" w:rsidR="00733C4F" w:rsidRPr="00873EB2" w:rsidRDefault="00733C4F" w:rsidP="00733C4F">
      <w:pPr>
        <w:pStyle w:val="FootnoteText"/>
        <w:jc w:val="both"/>
        <w:rPr>
          <w:rFonts w:ascii="Times New Roman" w:hAnsi="Times New Roman"/>
        </w:rPr>
      </w:pPr>
      <w:r w:rsidRPr="00873EB2">
        <w:rPr>
          <w:rStyle w:val="FootnoteReference"/>
          <w:rFonts w:ascii="Times New Roman" w:hAnsi="Times New Roman"/>
        </w:rPr>
        <w:footnoteRef/>
      </w:r>
      <w:r w:rsidRPr="00873EB2">
        <w:rPr>
          <w:rFonts w:ascii="Times New Roman" w:hAnsi="Times New Roman"/>
        </w:rPr>
        <w:t xml:space="preserve"> </w:t>
      </w:r>
      <w:r>
        <w:rPr>
          <w:rFonts w:ascii="Times New Roman" w:hAnsi="Times New Roman"/>
        </w:rPr>
        <w:t>Add. by Cl. (a) of reg. 2, the Petroleum and Natural Gas Regulatory Board (Determination of Petroleum and Petroleum Products Pipeline Transportation Tariff) Second Amendment Regulations, 2020 (</w:t>
      </w:r>
      <w:proofErr w:type="spellStart"/>
      <w:r>
        <w:rPr>
          <w:rFonts w:ascii="Times New Roman" w:hAnsi="Times New Roman"/>
        </w:rPr>
        <w:t>w.e.f</w:t>
      </w:r>
      <w:proofErr w:type="spellEnd"/>
      <w:r>
        <w:rPr>
          <w:rFonts w:ascii="Times New Roman" w:hAnsi="Times New Roman"/>
        </w:rPr>
        <w:t>. 19.02.2020).</w:t>
      </w:r>
    </w:p>
  </w:footnote>
  <w:footnote w:id="9">
    <w:p w14:paraId="5D5793DF" w14:textId="704CDFF1" w:rsidR="00733C4F" w:rsidRDefault="00733C4F" w:rsidP="00733C4F">
      <w:pPr>
        <w:pStyle w:val="FootnoteText"/>
        <w:jc w:val="both"/>
      </w:pPr>
      <w:r>
        <w:rPr>
          <w:rStyle w:val="FootnoteReference"/>
        </w:rPr>
        <w:footnoteRef/>
      </w:r>
      <w:r>
        <w:t xml:space="preserve"> </w:t>
      </w:r>
      <w:r>
        <w:rPr>
          <w:rFonts w:ascii="Times New Roman" w:hAnsi="Times New Roman"/>
        </w:rPr>
        <w:t>Add. by Cl. (a) of reg. 2, the Petroleum and Natural Gas Regulatory Board (Determination of Petroleum and Petroleum Products Pipeline Transportation Tariff) Third Amendment Regulations, 2020 (</w:t>
      </w:r>
      <w:proofErr w:type="spellStart"/>
      <w:r>
        <w:rPr>
          <w:rFonts w:ascii="Times New Roman" w:hAnsi="Times New Roman"/>
        </w:rPr>
        <w:t>w.e.f</w:t>
      </w:r>
      <w:proofErr w:type="spellEnd"/>
      <w:r>
        <w:rPr>
          <w:rFonts w:ascii="Times New Roman" w:hAnsi="Times New Roman"/>
        </w:rPr>
        <w:t>. 30.0</w:t>
      </w:r>
      <w:r w:rsidR="0095663A">
        <w:rPr>
          <w:rFonts w:ascii="Times New Roman" w:hAnsi="Times New Roman"/>
        </w:rPr>
        <w:t>6</w:t>
      </w:r>
      <w:r>
        <w:rPr>
          <w:rFonts w:ascii="Times New Roman" w:hAnsi="Times New Roman"/>
        </w:rPr>
        <w:t>.2020).</w:t>
      </w:r>
    </w:p>
  </w:footnote>
  <w:footnote w:id="10">
    <w:p w14:paraId="619E789F" w14:textId="0E034C7D" w:rsidR="00733C4F" w:rsidRDefault="00733C4F" w:rsidP="00733C4F">
      <w:pPr>
        <w:pStyle w:val="FootnoteText"/>
        <w:jc w:val="both"/>
      </w:pPr>
      <w:r>
        <w:rPr>
          <w:rStyle w:val="FootnoteReference"/>
        </w:rPr>
        <w:footnoteRef/>
      </w:r>
      <w:r>
        <w:t xml:space="preserve"> </w:t>
      </w:r>
      <w:r>
        <w:rPr>
          <w:rFonts w:ascii="Times New Roman" w:hAnsi="Times New Roman"/>
        </w:rPr>
        <w:t>Add. by Cl. (a) of reg. 2, the Petroleum and Natural Gas Regulatory Board (Determination of Petroleum and Petroleum Products Pipeline Transportation Tariff) Fourth Amendment Regulations, 2020 (</w:t>
      </w:r>
      <w:proofErr w:type="spellStart"/>
      <w:r>
        <w:rPr>
          <w:rFonts w:ascii="Times New Roman" w:hAnsi="Times New Roman"/>
        </w:rPr>
        <w:t>w.e.f</w:t>
      </w:r>
      <w:proofErr w:type="spellEnd"/>
      <w:r>
        <w:rPr>
          <w:rFonts w:ascii="Times New Roman" w:hAnsi="Times New Roman"/>
        </w:rPr>
        <w:t xml:space="preserve">. </w:t>
      </w:r>
      <w:r w:rsidR="0095663A">
        <w:rPr>
          <w:rFonts w:ascii="Times New Roman" w:hAnsi="Times New Roman"/>
        </w:rPr>
        <w:t>28</w:t>
      </w:r>
      <w:r>
        <w:rPr>
          <w:rFonts w:ascii="Times New Roman" w:hAnsi="Times New Roman"/>
        </w:rPr>
        <w:t>.0</w:t>
      </w:r>
      <w:r w:rsidR="0095663A">
        <w:rPr>
          <w:rFonts w:ascii="Times New Roman" w:hAnsi="Times New Roman"/>
        </w:rPr>
        <w:t>9</w:t>
      </w:r>
      <w:r>
        <w:rPr>
          <w:rFonts w:ascii="Times New Roman" w:hAnsi="Times New Roman"/>
        </w:rPr>
        <w:t>.2020).</w:t>
      </w:r>
    </w:p>
  </w:footnote>
  <w:footnote w:id="11">
    <w:p w14:paraId="76EB8256" w14:textId="25DD3AD9" w:rsidR="00FC2351" w:rsidRPr="00FC2351" w:rsidRDefault="00FC2351">
      <w:pPr>
        <w:pStyle w:val="FootnoteText"/>
        <w:rPr>
          <w:rFonts w:ascii="Times New Roman" w:hAnsi="Times New Roman"/>
        </w:rPr>
      </w:pPr>
      <w:r w:rsidRPr="00F501F0">
        <w:rPr>
          <w:rStyle w:val="FootnoteReference"/>
        </w:rPr>
        <w:footnoteRef/>
      </w:r>
      <w:r w:rsidRPr="00F501F0">
        <w:rPr>
          <w:rStyle w:val="FootnoteReference"/>
        </w:rPr>
        <w:t xml:space="preserve"> </w:t>
      </w:r>
      <w:r w:rsidR="00C1255A">
        <w:rPr>
          <w:rFonts w:ascii="Times New Roman" w:hAnsi="Times New Roman"/>
        </w:rPr>
        <w:t>Add</w:t>
      </w:r>
      <w:r>
        <w:rPr>
          <w:rFonts w:ascii="Times New Roman" w:hAnsi="Times New Roman"/>
        </w:rPr>
        <w:t>. by Cl. (a</w:t>
      </w:r>
      <w:r w:rsidRPr="005A5FA4">
        <w:rPr>
          <w:rFonts w:ascii="Times New Roman" w:hAnsi="Times New Roman"/>
        </w:rPr>
        <w:t>) of Reg. 2, the Petroleum and Natural Gas Regulatory Board (</w:t>
      </w:r>
      <w:r>
        <w:rPr>
          <w:rFonts w:ascii="Times New Roman" w:hAnsi="Times New Roman"/>
        </w:rPr>
        <w:t>Determination of Petroleum and Petroleum Products Pipeline Transportation Tariff) Amendment Regulations, 2021 (</w:t>
      </w:r>
      <w:proofErr w:type="spellStart"/>
      <w:r>
        <w:rPr>
          <w:rFonts w:ascii="Times New Roman" w:hAnsi="Times New Roman"/>
        </w:rPr>
        <w:t>w.e.f</w:t>
      </w:r>
      <w:proofErr w:type="spellEnd"/>
      <w:r>
        <w:rPr>
          <w:rFonts w:ascii="Times New Roman" w:hAnsi="Times New Roman"/>
        </w:rPr>
        <w:t>. 14</w:t>
      </w:r>
      <w:r w:rsidRPr="005A5FA4">
        <w:rPr>
          <w:rFonts w:ascii="Times New Roman" w:hAnsi="Times New Roman"/>
        </w:rPr>
        <w:t>.</w:t>
      </w:r>
      <w:r>
        <w:rPr>
          <w:rFonts w:ascii="Times New Roman" w:hAnsi="Times New Roman"/>
        </w:rPr>
        <w:t>12</w:t>
      </w:r>
      <w:r w:rsidRPr="005A5FA4">
        <w:rPr>
          <w:rFonts w:ascii="Times New Roman" w:hAnsi="Times New Roman"/>
        </w:rPr>
        <w:t>.202</w:t>
      </w:r>
      <w:r>
        <w:rPr>
          <w:rFonts w:ascii="Times New Roman" w:hAnsi="Times New Roman"/>
        </w:rPr>
        <w:t>1</w:t>
      </w:r>
      <w:r w:rsidRPr="005A5FA4">
        <w:rPr>
          <w:rFonts w:ascii="Times New Roman" w:hAnsi="Times New Roman"/>
        </w:rPr>
        <w:t>)</w:t>
      </w:r>
    </w:p>
  </w:footnote>
  <w:footnote w:id="12">
    <w:p w14:paraId="2825316B" w14:textId="11B5B77B" w:rsidR="002B425F" w:rsidRDefault="002B425F">
      <w:pPr>
        <w:pStyle w:val="FootnoteText"/>
      </w:pPr>
      <w:r>
        <w:rPr>
          <w:rStyle w:val="FootnoteReference"/>
        </w:rPr>
        <w:footnoteRef/>
      </w:r>
      <w:r>
        <w:t xml:space="preserve"> </w:t>
      </w:r>
      <w:r w:rsidRPr="002B425F">
        <w:rPr>
          <w:rFonts w:ascii="Times New Roman" w:hAnsi="Times New Roman"/>
        </w:rPr>
        <w:t>Ins</w:t>
      </w:r>
      <w:r>
        <w:rPr>
          <w:rFonts w:ascii="Times New Roman" w:hAnsi="Times New Roman"/>
        </w:rPr>
        <w:t>. by Cl. (a</w:t>
      </w:r>
      <w:r w:rsidRPr="005A5FA4">
        <w:rPr>
          <w:rFonts w:ascii="Times New Roman" w:hAnsi="Times New Roman"/>
        </w:rPr>
        <w:t>) of Reg. 2, the Petroleum and Natural Gas Regulatory Board (</w:t>
      </w:r>
      <w:r>
        <w:rPr>
          <w:rFonts w:ascii="Times New Roman" w:hAnsi="Times New Roman"/>
        </w:rPr>
        <w:t>Determination of Petroleum and Petroleum Products Pipeline Transportation Tariff) Amendment Regulations, 2023 (</w:t>
      </w:r>
      <w:proofErr w:type="spellStart"/>
      <w:r>
        <w:rPr>
          <w:rFonts w:ascii="Times New Roman" w:hAnsi="Times New Roman"/>
        </w:rPr>
        <w:t>w.e.f</w:t>
      </w:r>
      <w:proofErr w:type="spellEnd"/>
      <w:r>
        <w:rPr>
          <w:rFonts w:ascii="Times New Roman" w:hAnsi="Times New Roman"/>
        </w:rPr>
        <w:t>. 01</w:t>
      </w:r>
      <w:r w:rsidRPr="005A5FA4">
        <w:rPr>
          <w:rFonts w:ascii="Times New Roman" w:hAnsi="Times New Roman"/>
        </w:rPr>
        <w:t>.</w:t>
      </w:r>
      <w:r>
        <w:rPr>
          <w:rFonts w:ascii="Times New Roman" w:hAnsi="Times New Roman"/>
        </w:rPr>
        <w:t>10</w:t>
      </w:r>
      <w:r w:rsidRPr="005A5FA4">
        <w:rPr>
          <w:rFonts w:ascii="Times New Roman" w:hAnsi="Times New Roman"/>
        </w:rPr>
        <w:t>.202</w:t>
      </w:r>
      <w:r>
        <w:rPr>
          <w:rFonts w:ascii="Times New Roman" w:hAnsi="Times New Roman"/>
        </w:rPr>
        <w:t>3</w:t>
      </w:r>
      <w:r w:rsidRPr="005A5FA4">
        <w:rPr>
          <w:rFonts w:ascii="Times New Roman" w:hAnsi="Times New Roman"/>
        </w:rPr>
        <w:t>)</w:t>
      </w:r>
    </w:p>
  </w:footnote>
  <w:footnote w:id="13">
    <w:p w14:paraId="03D0B525" w14:textId="29945534" w:rsidR="00733C4F" w:rsidRPr="00FC2351" w:rsidRDefault="00733C4F" w:rsidP="00733C4F">
      <w:pPr>
        <w:pStyle w:val="FootnoteText"/>
        <w:jc w:val="both"/>
        <w:rPr>
          <w:rFonts w:ascii="Times New Roman" w:hAnsi="Times New Roman"/>
        </w:rPr>
      </w:pPr>
      <w:r w:rsidRPr="00FC2351">
        <w:rPr>
          <w:rFonts w:ascii="Times New Roman" w:hAnsi="Times New Roman"/>
        </w:rPr>
        <w:footnoteRef/>
      </w:r>
      <w:r>
        <w:rPr>
          <w:rFonts w:ascii="Times New Roman" w:hAnsi="Times New Roman"/>
        </w:rPr>
        <w:t>Add. by Cl. (b) of reg. 2, the Petroleum and Natural Gas Regulatory Board (Determination of Petroleum and Petroleum Products Pipeline Transportation Tariff) Amendment Regulations, 2012 (</w:t>
      </w:r>
      <w:proofErr w:type="spellStart"/>
      <w:r>
        <w:rPr>
          <w:rFonts w:ascii="Times New Roman" w:hAnsi="Times New Roman"/>
        </w:rPr>
        <w:t>w.e.f</w:t>
      </w:r>
      <w:proofErr w:type="spellEnd"/>
      <w:r>
        <w:rPr>
          <w:rFonts w:ascii="Times New Roman" w:hAnsi="Times New Roman"/>
        </w:rPr>
        <w:t>. 20.12.12).</w:t>
      </w:r>
    </w:p>
  </w:footnote>
  <w:footnote w:id="14">
    <w:p w14:paraId="78C20BD4" w14:textId="26D77810" w:rsidR="00733C4F" w:rsidRPr="00FC2351" w:rsidRDefault="00733C4F" w:rsidP="00733C4F">
      <w:pPr>
        <w:pStyle w:val="FootnoteText"/>
        <w:jc w:val="both"/>
        <w:rPr>
          <w:rFonts w:ascii="Times New Roman" w:hAnsi="Times New Roman"/>
        </w:rPr>
      </w:pPr>
      <w:r w:rsidRPr="00FC2351">
        <w:rPr>
          <w:rFonts w:ascii="Times New Roman" w:hAnsi="Times New Roman"/>
        </w:rPr>
        <w:footnoteRef/>
      </w:r>
      <w:r>
        <w:rPr>
          <w:rFonts w:ascii="Times New Roman" w:hAnsi="Times New Roman"/>
        </w:rPr>
        <w:t xml:space="preserve">Add. by </w:t>
      </w:r>
      <w:r w:rsidR="0095663A">
        <w:rPr>
          <w:rFonts w:ascii="Times New Roman" w:hAnsi="Times New Roman"/>
        </w:rPr>
        <w:t>Cl.</w:t>
      </w:r>
      <w:r>
        <w:rPr>
          <w:rFonts w:ascii="Times New Roman" w:hAnsi="Times New Roman"/>
        </w:rPr>
        <w:t xml:space="preserve"> (b) of reg. 2</w:t>
      </w:r>
      <w:r w:rsidRPr="007C4053">
        <w:rPr>
          <w:rFonts w:ascii="Times New Roman" w:hAnsi="Times New Roman"/>
        </w:rPr>
        <w:t xml:space="preserve"> </w:t>
      </w:r>
      <w:r>
        <w:rPr>
          <w:rFonts w:ascii="Times New Roman" w:hAnsi="Times New Roman"/>
        </w:rPr>
        <w:t>the Petroleum and Natural Gas Regulatory Board (Determination of Petroleum and Petroleum Products Pipeline Transportation Tariff) Amendment Regulations, 2014 (</w:t>
      </w:r>
      <w:proofErr w:type="spellStart"/>
      <w:r>
        <w:rPr>
          <w:rFonts w:ascii="Times New Roman" w:hAnsi="Times New Roman"/>
        </w:rPr>
        <w:t>w.e.f</w:t>
      </w:r>
      <w:proofErr w:type="spellEnd"/>
      <w:r>
        <w:rPr>
          <w:rFonts w:ascii="Times New Roman" w:hAnsi="Times New Roman"/>
        </w:rPr>
        <w:t>. 20.12.14).</w:t>
      </w:r>
    </w:p>
  </w:footnote>
  <w:footnote w:id="15">
    <w:p w14:paraId="474CB77B" w14:textId="4DEBB20C" w:rsidR="00733C4F" w:rsidRPr="00CB0201" w:rsidRDefault="00733C4F" w:rsidP="00733C4F">
      <w:pPr>
        <w:pStyle w:val="FootnoteText"/>
        <w:jc w:val="both"/>
        <w:rPr>
          <w:lang w:val="en-IN"/>
        </w:rPr>
      </w:pPr>
      <w:r>
        <w:rPr>
          <w:rStyle w:val="FootnoteReference"/>
        </w:rPr>
        <w:footnoteRef/>
      </w:r>
      <w:r>
        <w:rPr>
          <w:rFonts w:ascii="Times New Roman" w:hAnsi="Times New Roman"/>
        </w:rPr>
        <w:t xml:space="preserve">Add. by </w:t>
      </w:r>
      <w:r w:rsidR="0095663A">
        <w:rPr>
          <w:rFonts w:ascii="Times New Roman" w:hAnsi="Times New Roman"/>
        </w:rPr>
        <w:t>Cl.</w:t>
      </w:r>
      <w:r>
        <w:rPr>
          <w:rFonts w:ascii="Times New Roman" w:hAnsi="Times New Roman"/>
        </w:rPr>
        <w:t xml:space="preserve"> (a) of reg. 2, the Petroleum and Natural Gas Regulatory Board (Determination of Petroleum and Petroleum Products Pipeline Transportation Tariff) Amendment Regulations, 2016 (</w:t>
      </w:r>
      <w:proofErr w:type="spellStart"/>
      <w:r>
        <w:rPr>
          <w:rFonts w:ascii="Times New Roman" w:hAnsi="Times New Roman"/>
        </w:rPr>
        <w:t>w.e.f</w:t>
      </w:r>
      <w:proofErr w:type="spellEnd"/>
      <w:r>
        <w:rPr>
          <w:rFonts w:ascii="Times New Roman" w:hAnsi="Times New Roman"/>
        </w:rPr>
        <w:t xml:space="preserve">. 20.12.16). </w:t>
      </w:r>
    </w:p>
  </w:footnote>
  <w:footnote w:id="16">
    <w:p w14:paraId="6527C013" w14:textId="437839F3" w:rsidR="00733C4F" w:rsidRPr="0073414C" w:rsidRDefault="00733C4F" w:rsidP="00733C4F">
      <w:pPr>
        <w:pStyle w:val="FootnoteText"/>
        <w:jc w:val="both"/>
        <w:rPr>
          <w:lang w:val="en-IN"/>
        </w:rPr>
      </w:pPr>
      <w:r>
        <w:rPr>
          <w:rStyle w:val="FootnoteReference"/>
        </w:rPr>
        <w:footnoteRef/>
      </w:r>
      <w:r>
        <w:rPr>
          <w:rFonts w:ascii="Times New Roman" w:hAnsi="Times New Roman"/>
        </w:rPr>
        <w:t xml:space="preserve">Add. by </w:t>
      </w:r>
      <w:r w:rsidR="0095663A">
        <w:rPr>
          <w:rFonts w:ascii="Times New Roman" w:hAnsi="Times New Roman"/>
        </w:rPr>
        <w:t>Cl.</w:t>
      </w:r>
      <w:r>
        <w:rPr>
          <w:rFonts w:ascii="Times New Roman" w:hAnsi="Times New Roman"/>
        </w:rPr>
        <w:t xml:space="preserve"> (b) of reg. 2, the Petroleum and Natural Gas Regulatory Board (Determination of Petroleum and Petroleum Products Pipeline Transportation Tariff) Amendment Regulations, 2017 (</w:t>
      </w:r>
      <w:proofErr w:type="spellStart"/>
      <w:r>
        <w:rPr>
          <w:rFonts w:ascii="Times New Roman" w:hAnsi="Times New Roman"/>
        </w:rPr>
        <w:t>w.e.f</w:t>
      </w:r>
      <w:proofErr w:type="spellEnd"/>
      <w:r>
        <w:rPr>
          <w:rFonts w:ascii="Times New Roman" w:hAnsi="Times New Roman"/>
        </w:rPr>
        <w:t>. 20.12.17).</w:t>
      </w:r>
    </w:p>
  </w:footnote>
  <w:footnote w:id="17">
    <w:p w14:paraId="4100834D" w14:textId="77777777" w:rsidR="00733C4F" w:rsidRPr="00731F05" w:rsidRDefault="00733C4F" w:rsidP="00733C4F">
      <w:pPr>
        <w:pStyle w:val="FootnoteText"/>
        <w:jc w:val="both"/>
        <w:rPr>
          <w:lang w:val="en-IN"/>
        </w:rPr>
      </w:pPr>
      <w:r>
        <w:rPr>
          <w:rStyle w:val="FootnoteReference"/>
        </w:rPr>
        <w:footnoteRef/>
      </w:r>
      <w:r>
        <w:rPr>
          <w:rFonts w:ascii="Times New Roman" w:hAnsi="Times New Roman"/>
        </w:rPr>
        <w:t>Add. by Cl. (b) of reg. 3, the Petroleum and Natural Gas Regulatory Board (Determination of Petroleum and Petroleum Products Pipeline Transportation Tariff) Amendment Regulations, 2018 (</w:t>
      </w:r>
      <w:proofErr w:type="spellStart"/>
      <w:r>
        <w:rPr>
          <w:rFonts w:ascii="Times New Roman" w:hAnsi="Times New Roman"/>
        </w:rPr>
        <w:t>w.e.f</w:t>
      </w:r>
      <w:proofErr w:type="spellEnd"/>
      <w:r>
        <w:rPr>
          <w:rFonts w:ascii="Times New Roman" w:hAnsi="Times New Roman"/>
        </w:rPr>
        <w:t>. 20.12.18).</w:t>
      </w:r>
    </w:p>
  </w:footnote>
  <w:footnote w:id="18">
    <w:p w14:paraId="4BB9F81D" w14:textId="77777777" w:rsidR="00733C4F" w:rsidRPr="004E16E3" w:rsidRDefault="00733C4F" w:rsidP="00733C4F">
      <w:pPr>
        <w:pStyle w:val="FootnoteText"/>
        <w:jc w:val="both"/>
        <w:rPr>
          <w:lang w:val="en-IN"/>
        </w:rPr>
      </w:pPr>
      <w:r>
        <w:rPr>
          <w:rStyle w:val="FootnoteReference"/>
        </w:rPr>
        <w:footnoteRef/>
      </w:r>
      <w:r>
        <w:rPr>
          <w:rFonts w:ascii="Times New Roman" w:hAnsi="Times New Roman"/>
        </w:rPr>
        <w:t>Add. by Cl. (b) of reg. 3, the Petroleum and Natural Gas Regulatory Board (Determination of Petroleum and Petroleum Products Pipeline Transportation Tariff) Amendment Regulations, 2019 (</w:t>
      </w:r>
      <w:proofErr w:type="spellStart"/>
      <w:r>
        <w:rPr>
          <w:rFonts w:ascii="Times New Roman" w:hAnsi="Times New Roman"/>
        </w:rPr>
        <w:t>w.e.f</w:t>
      </w:r>
      <w:proofErr w:type="spellEnd"/>
      <w:r>
        <w:rPr>
          <w:rFonts w:ascii="Times New Roman" w:hAnsi="Times New Roman"/>
        </w:rPr>
        <w:t>. 01.04.19).</w:t>
      </w:r>
    </w:p>
  </w:footnote>
  <w:footnote w:id="19">
    <w:p w14:paraId="387053E4" w14:textId="77777777" w:rsidR="00733C4F" w:rsidRPr="00F67CA6" w:rsidRDefault="00733C4F" w:rsidP="00733C4F">
      <w:pPr>
        <w:pStyle w:val="FootnoteText"/>
        <w:jc w:val="both"/>
        <w:rPr>
          <w:rFonts w:ascii="Times New Roman" w:hAnsi="Times New Roman"/>
        </w:rPr>
      </w:pPr>
      <w:r w:rsidRPr="00F67CA6">
        <w:rPr>
          <w:rStyle w:val="FootnoteReference"/>
          <w:rFonts w:ascii="Times New Roman" w:hAnsi="Times New Roman"/>
        </w:rPr>
        <w:footnoteRef/>
      </w:r>
      <w:r w:rsidRPr="00F67CA6">
        <w:rPr>
          <w:rFonts w:ascii="Times New Roman" w:hAnsi="Times New Roman"/>
        </w:rPr>
        <w:t xml:space="preserve"> </w:t>
      </w:r>
      <w:r>
        <w:rPr>
          <w:rFonts w:ascii="Times New Roman" w:hAnsi="Times New Roman"/>
        </w:rPr>
        <w:t xml:space="preserve">Add. by Cl. (b) of reg. 3, the Petroleum and Natural Gas Regulatory Board (Determination of Petroleum and Petroleum Products Pipeline Transportation Tariff) Amendment Regulations, 2020 </w:t>
      </w:r>
      <w:proofErr w:type="spellStart"/>
      <w:r>
        <w:rPr>
          <w:rFonts w:ascii="Times New Roman" w:hAnsi="Times New Roman"/>
        </w:rPr>
        <w:t>w.e.f</w:t>
      </w:r>
      <w:proofErr w:type="spellEnd"/>
      <w:r>
        <w:rPr>
          <w:rFonts w:ascii="Times New Roman" w:hAnsi="Times New Roman"/>
        </w:rPr>
        <w:t>. 19.02.2020).</w:t>
      </w:r>
    </w:p>
  </w:footnote>
  <w:footnote w:id="20">
    <w:p w14:paraId="484F261F" w14:textId="77777777" w:rsidR="00733C4F" w:rsidRDefault="00733C4F" w:rsidP="00733C4F">
      <w:pPr>
        <w:pStyle w:val="FootnoteText"/>
        <w:jc w:val="both"/>
      </w:pPr>
      <w:r>
        <w:rPr>
          <w:rStyle w:val="FootnoteReference"/>
        </w:rPr>
        <w:footnoteRef/>
      </w:r>
      <w:r>
        <w:t xml:space="preserve"> </w:t>
      </w:r>
      <w:r>
        <w:rPr>
          <w:rFonts w:ascii="Times New Roman" w:hAnsi="Times New Roman"/>
        </w:rPr>
        <w:t>Add. by Cl. (b) of reg. 2, the Petroleum and Natural Gas Regulatory Board (Determination of Petroleum and Petroleum Products Pipeline Transportation Tariff) Second Amendment Regulations, 2020 (</w:t>
      </w:r>
      <w:proofErr w:type="spellStart"/>
      <w:r>
        <w:rPr>
          <w:rFonts w:ascii="Times New Roman" w:hAnsi="Times New Roman"/>
        </w:rPr>
        <w:t>w.e.f</w:t>
      </w:r>
      <w:proofErr w:type="spellEnd"/>
      <w:r>
        <w:rPr>
          <w:rFonts w:ascii="Times New Roman" w:hAnsi="Times New Roman"/>
        </w:rPr>
        <w:t>. 19.02.2020).</w:t>
      </w:r>
    </w:p>
  </w:footnote>
  <w:footnote w:id="21">
    <w:p w14:paraId="1F765A5E" w14:textId="77777777" w:rsidR="00733C4F" w:rsidRDefault="00733C4F" w:rsidP="00733C4F">
      <w:pPr>
        <w:pStyle w:val="FootnoteText"/>
        <w:jc w:val="both"/>
      </w:pPr>
      <w:r>
        <w:rPr>
          <w:rStyle w:val="FootnoteReference"/>
        </w:rPr>
        <w:footnoteRef/>
      </w:r>
      <w:r>
        <w:t xml:space="preserve"> </w:t>
      </w:r>
      <w:r>
        <w:rPr>
          <w:rFonts w:ascii="Times New Roman" w:hAnsi="Times New Roman"/>
        </w:rPr>
        <w:t>Add. by Cl. (b) of reg. 2, the Petroleum and Natural Gas Regulatory Board (Determination of Petroleum and Petroleum Products Pipeline Transportation Tariff) Third Amendment Regulations, 2020 (</w:t>
      </w:r>
      <w:proofErr w:type="spellStart"/>
      <w:r>
        <w:rPr>
          <w:rFonts w:ascii="Times New Roman" w:hAnsi="Times New Roman"/>
        </w:rPr>
        <w:t>w.e.f</w:t>
      </w:r>
      <w:proofErr w:type="spellEnd"/>
      <w:r>
        <w:rPr>
          <w:rFonts w:ascii="Times New Roman" w:hAnsi="Times New Roman"/>
        </w:rPr>
        <w:t>. 30.06.2020).</w:t>
      </w:r>
    </w:p>
  </w:footnote>
  <w:footnote w:id="22">
    <w:p w14:paraId="2A94C4AD" w14:textId="6AE5057F" w:rsidR="0095663A" w:rsidRDefault="0095663A" w:rsidP="0095663A">
      <w:pPr>
        <w:pStyle w:val="FootnoteText"/>
        <w:jc w:val="both"/>
      </w:pPr>
      <w:r>
        <w:rPr>
          <w:rStyle w:val="FootnoteReference"/>
        </w:rPr>
        <w:footnoteRef/>
      </w:r>
      <w:r>
        <w:t xml:space="preserve"> </w:t>
      </w:r>
      <w:r>
        <w:rPr>
          <w:rFonts w:ascii="Times New Roman" w:hAnsi="Times New Roman"/>
        </w:rPr>
        <w:t>Add. by Cl. (b) of reg. 2, the Petroleum and Natural Gas Regulatory Board (Determination of Petroleum and Petroleum Products Pipeline Transportation Tariff) Fourth Amendment Regulations, 2020 (</w:t>
      </w:r>
      <w:proofErr w:type="spellStart"/>
      <w:r>
        <w:rPr>
          <w:rFonts w:ascii="Times New Roman" w:hAnsi="Times New Roman"/>
        </w:rPr>
        <w:t>w.e.f</w:t>
      </w:r>
      <w:proofErr w:type="spellEnd"/>
      <w:r>
        <w:rPr>
          <w:rFonts w:ascii="Times New Roman" w:hAnsi="Times New Roman"/>
        </w:rPr>
        <w:t>. 28.09.2020).</w:t>
      </w:r>
    </w:p>
  </w:footnote>
  <w:footnote w:id="23">
    <w:p w14:paraId="76E656CB" w14:textId="6753947F" w:rsidR="00F501F0" w:rsidRPr="00F501F0" w:rsidRDefault="00F501F0">
      <w:pPr>
        <w:pStyle w:val="FootnoteText"/>
        <w:rPr>
          <w:lang w:val="en-IN"/>
        </w:rPr>
      </w:pPr>
      <w:r>
        <w:rPr>
          <w:rStyle w:val="FootnoteReference"/>
        </w:rPr>
        <w:footnoteRef/>
      </w:r>
      <w:r>
        <w:t xml:space="preserve"> </w:t>
      </w:r>
      <w:r>
        <w:rPr>
          <w:rFonts w:ascii="Times New Roman" w:hAnsi="Times New Roman"/>
        </w:rPr>
        <w:t>Ins. by Cl. (b</w:t>
      </w:r>
      <w:r w:rsidRPr="005A5FA4">
        <w:rPr>
          <w:rFonts w:ascii="Times New Roman" w:hAnsi="Times New Roman"/>
        </w:rPr>
        <w:t>) of Reg. 2, the Petroleum and Natural Gas Regulatory Board (</w:t>
      </w:r>
      <w:r>
        <w:rPr>
          <w:rFonts w:ascii="Times New Roman" w:hAnsi="Times New Roman"/>
        </w:rPr>
        <w:t>Determination of Petroleum and Petroleum Products Pipeline Transportation Tariff) Amendment Regulations, 2021 (</w:t>
      </w:r>
      <w:proofErr w:type="spellStart"/>
      <w:r>
        <w:rPr>
          <w:rFonts w:ascii="Times New Roman" w:hAnsi="Times New Roman"/>
        </w:rPr>
        <w:t>w.e.f</w:t>
      </w:r>
      <w:proofErr w:type="spellEnd"/>
      <w:r>
        <w:rPr>
          <w:rFonts w:ascii="Times New Roman" w:hAnsi="Times New Roman"/>
        </w:rPr>
        <w:t>. 14</w:t>
      </w:r>
      <w:r w:rsidRPr="005A5FA4">
        <w:rPr>
          <w:rFonts w:ascii="Times New Roman" w:hAnsi="Times New Roman"/>
        </w:rPr>
        <w:t>.</w:t>
      </w:r>
      <w:r>
        <w:rPr>
          <w:rFonts w:ascii="Times New Roman" w:hAnsi="Times New Roman"/>
        </w:rPr>
        <w:t>12</w:t>
      </w:r>
      <w:r w:rsidRPr="005A5FA4">
        <w:rPr>
          <w:rFonts w:ascii="Times New Roman" w:hAnsi="Times New Roman"/>
        </w:rPr>
        <w:t>.202</w:t>
      </w:r>
      <w:r>
        <w:rPr>
          <w:rFonts w:ascii="Times New Roman" w:hAnsi="Times New Roman"/>
        </w:rPr>
        <w:t>1</w:t>
      </w:r>
      <w:r w:rsidRPr="005A5FA4">
        <w:rPr>
          <w:rFonts w:ascii="Times New Roman" w:hAnsi="Times New Roman"/>
        </w:rPr>
        <w:t>)</w:t>
      </w:r>
    </w:p>
  </w:footnote>
  <w:footnote w:id="24">
    <w:p w14:paraId="24ABE754" w14:textId="7B0BEFE0" w:rsidR="00BA0C61" w:rsidRDefault="00BA0C61">
      <w:pPr>
        <w:pStyle w:val="FootnoteText"/>
      </w:pPr>
      <w:r>
        <w:rPr>
          <w:rStyle w:val="FootnoteReference"/>
        </w:rPr>
        <w:footnoteRef/>
      </w:r>
      <w:r>
        <w:t xml:space="preserve"> </w:t>
      </w:r>
      <w:r w:rsidRPr="002B425F">
        <w:rPr>
          <w:rFonts w:ascii="Times New Roman" w:hAnsi="Times New Roman"/>
        </w:rPr>
        <w:t>Ins</w:t>
      </w:r>
      <w:r>
        <w:rPr>
          <w:rFonts w:ascii="Times New Roman" w:hAnsi="Times New Roman"/>
        </w:rPr>
        <w:t>. by Cl. (b</w:t>
      </w:r>
      <w:r w:rsidRPr="005A5FA4">
        <w:rPr>
          <w:rFonts w:ascii="Times New Roman" w:hAnsi="Times New Roman"/>
        </w:rPr>
        <w:t>) of Reg. 2, the Petroleum and Natural Gas Regulatory Board (</w:t>
      </w:r>
      <w:r>
        <w:rPr>
          <w:rFonts w:ascii="Times New Roman" w:hAnsi="Times New Roman"/>
        </w:rPr>
        <w:t>Determination of Petroleum and Petroleum Products Pipeline Transportation Tariff) Amendment Regulations, 2023 (</w:t>
      </w:r>
      <w:proofErr w:type="spellStart"/>
      <w:r>
        <w:rPr>
          <w:rFonts w:ascii="Times New Roman" w:hAnsi="Times New Roman"/>
        </w:rPr>
        <w:t>w.e.f</w:t>
      </w:r>
      <w:proofErr w:type="spellEnd"/>
      <w:r>
        <w:rPr>
          <w:rFonts w:ascii="Times New Roman" w:hAnsi="Times New Roman"/>
        </w:rPr>
        <w:t>. 01</w:t>
      </w:r>
      <w:r w:rsidRPr="005A5FA4">
        <w:rPr>
          <w:rFonts w:ascii="Times New Roman" w:hAnsi="Times New Roman"/>
        </w:rPr>
        <w:t>.</w:t>
      </w:r>
      <w:r>
        <w:rPr>
          <w:rFonts w:ascii="Times New Roman" w:hAnsi="Times New Roman"/>
        </w:rPr>
        <w:t>10</w:t>
      </w:r>
      <w:r w:rsidRPr="005A5FA4">
        <w:rPr>
          <w:rFonts w:ascii="Times New Roman" w:hAnsi="Times New Roman"/>
        </w:rPr>
        <w:t>.202</w:t>
      </w:r>
      <w:r>
        <w:rPr>
          <w:rFonts w:ascii="Times New Roman" w:hAnsi="Times New Roman"/>
        </w:rPr>
        <w:t>3</w:t>
      </w:r>
      <w:r w:rsidRPr="005A5FA4">
        <w:rPr>
          <w:rFonts w:ascii="Times New Roman" w:hAnsi="Times New Roman"/>
        </w:rPr>
        <w:t>)</w:t>
      </w:r>
    </w:p>
  </w:footnote>
  <w:footnote w:id="25">
    <w:p w14:paraId="1A75793B" w14:textId="77777777" w:rsidR="00733C4F" w:rsidRDefault="00733C4F" w:rsidP="00733C4F">
      <w:pPr>
        <w:pStyle w:val="FootnoteText"/>
        <w:jc w:val="both"/>
        <w:rPr>
          <w:lang w:val="en-IN"/>
        </w:rPr>
      </w:pPr>
      <w:r>
        <w:rPr>
          <w:rStyle w:val="FootnoteReference"/>
        </w:rPr>
        <w:footnoteRef/>
      </w:r>
      <w:r>
        <w:rPr>
          <w:rFonts w:ascii="Times New Roman" w:hAnsi="Times New Roman"/>
          <w:lang w:val="en-IN"/>
        </w:rPr>
        <w:t>Subs. by Reg. 2, the Petroleum and Natural Gas Regulatory Board (Determining of Petroleum and Petroleum Products Pipeline Transportation Tariff) Amendment Regulations, 2014, for reg. 6 (</w:t>
      </w:r>
      <w:proofErr w:type="spellStart"/>
      <w:r>
        <w:rPr>
          <w:rFonts w:ascii="Times New Roman" w:hAnsi="Times New Roman"/>
          <w:lang w:val="en-IN"/>
        </w:rPr>
        <w:t>w.e.f</w:t>
      </w:r>
      <w:proofErr w:type="spellEnd"/>
      <w:r>
        <w:rPr>
          <w:rFonts w:ascii="Times New Roman" w:hAnsi="Times New Roman"/>
          <w:lang w:val="en-IN"/>
        </w:rPr>
        <w:t>. 01.01.2015)</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155C9"/>
    <w:multiLevelType w:val="hybridMultilevel"/>
    <w:tmpl w:val="99CCC4B8"/>
    <w:lvl w:ilvl="0" w:tplc="6B8EAD4E">
      <w:start w:val="1"/>
      <w:numFmt w:val="lowerLetter"/>
      <w:lvlText w:val="(%1)"/>
      <w:lvlJc w:val="left"/>
      <w:pPr>
        <w:ind w:left="1854"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11D416A3"/>
    <w:multiLevelType w:val="hybridMultilevel"/>
    <w:tmpl w:val="CE947EE6"/>
    <w:lvl w:ilvl="0" w:tplc="EBDA9C1E">
      <w:start w:val="1"/>
      <w:numFmt w:val="decimal"/>
      <w:lvlText w:val="(%1)"/>
      <w:lvlJc w:val="left"/>
      <w:pPr>
        <w:ind w:left="36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37EE71F4"/>
    <w:multiLevelType w:val="hybridMultilevel"/>
    <w:tmpl w:val="CBFAB0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47F0CD5"/>
    <w:multiLevelType w:val="hybridMultilevel"/>
    <w:tmpl w:val="48F8D8EE"/>
    <w:lvl w:ilvl="0" w:tplc="EBDA9C1E">
      <w:start w:val="1"/>
      <w:numFmt w:val="decimal"/>
      <w:lvlText w:val="(%1)"/>
      <w:lvlJc w:val="left"/>
      <w:pPr>
        <w:ind w:left="1287" w:hanging="360"/>
      </w:pPr>
    </w:lvl>
    <w:lvl w:ilvl="1" w:tplc="40090019">
      <w:start w:val="1"/>
      <w:numFmt w:val="lowerLetter"/>
      <w:lvlText w:val="%2."/>
      <w:lvlJc w:val="left"/>
      <w:pPr>
        <w:ind w:left="2007" w:hanging="360"/>
      </w:pPr>
    </w:lvl>
    <w:lvl w:ilvl="2" w:tplc="4009001B">
      <w:start w:val="1"/>
      <w:numFmt w:val="lowerRoman"/>
      <w:lvlText w:val="%3."/>
      <w:lvlJc w:val="right"/>
      <w:pPr>
        <w:ind w:left="2727" w:hanging="180"/>
      </w:pPr>
    </w:lvl>
    <w:lvl w:ilvl="3" w:tplc="4009000F">
      <w:start w:val="1"/>
      <w:numFmt w:val="decimal"/>
      <w:lvlText w:val="%4."/>
      <w:lvlJc w:val="left"/>
      <w:pPr>
        <w:ind w:left="3447" w:hanging="360"/>
      </w:pPr>
    </w:lvl>
    <w:lvl w:ilvl="4" w:tplc="40090019">
      <w:start w:val="1"/>
      <w:numFmt w:val="lowerLetter"/>
      <w:lvlText w:val="%5."/>
      <w:lvlJc w:val="left"/>
      <w:pPr>
        <w:ind w:left="4167" w:hanging="360"/>
      </w:pPr>
    </w:lvl>
    <w:lvl w:ilvl="5" w:tplc="4009001B">
      <w:start w:val="1"/>
      <w:numFmt w:val="lowerRoman"/>
      <w:lvlText w:val="%6."/>
      <w:lvlJc w:val="right"/>
      <w:pPr>
        <w:ind w:left="4887" w:hanging="180"/>
      </w:pPr>
    </w:lvl>
    <w:lvl w:ilvl="6" w:tplc="4009000F">
      <w:start w:val="1"/>
      <w:numFmt w:val="decimal"/>
      <w:lvlText w:val="%7."/>
      <w:lvlJc w:val="left"/>
      <w:pPr>
        <w:ind w:left="5607" w:hanging="360"/>
      </w:pPr>
    </w:lvl>
    <w:lvl w:ilvl="7" w:tplc="40090019">
      <w:start w:val="1"/>
      <w:numFmt w:val="lowerLetter"/>
      <w:lvlText w:val="%8."/>
      <w:lvlJc w:val="left"/>
      <w:pPr>
        <w:ind w:left="6327" w:hanging="360"/>
      </w:pPr>
    </w:lvl>
    <w:lvl w:ilvl="8" w:tplc="4009001B">
      <w:start w:val="1"/>
      <w:numFmt w:val="lowerRoman"/>
      <w:lvlText w:val="%9."/>
      <w:lvlJc w:val="right"/>
      <w:pPr>
        <w:ind w:left="7047" w:hanging="180"/>
      </w:pPr>
    </w:lvl>
  </w:abstractNum>
  <w:abstractNum w:abstractNumId="4" w15:restartNumberingAfterBreak="0">
    <w:nsid w:val="5F6919FC"/>
    <w:multiLevelType w:val="hybridMultilevel"/>
    <w:tmpl w:val="1E48EF78"/>
    <w:lvl w:ilvl="0" w:tplc="3B989904">
      <w:start w:val="2"/>
      <w:numFmt w:val="decimal"/>
      <w:lvlText w:val="(%1)"/>
      <w:lvlJc w:val="left"/>
      <w:pPr>
        <w:ind w:left="1287"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C4F"/>
    <w:rsid w:val="00067DDD"/>
    <w:rsid w:val="002B425F"/>
    <w:rsid w:val="002C19D4"/>
    <w:rsid w:val="003932B7"/>
    <w:rsid w:val="003A56A8"/>
    <w:rsid w:val="004516B6"/>
    <w:rsid w:val="00521B37"/>
    <w:rsid w:val="005C086C"/>
    <w:rsid w:val="00733C4F"/>
    <w:rsid w:val="00906541"/>
    <w:rsid w:val="0095663A"/>
    <w:rsid w:val="00990103"/>
    <w:rsid w:val="00A2069A"/>
    <w:rsid w:val="00AB6D32"/>
    <w:rsid w:val="00BA0C61"/>
    <w:rsid w:val="00C1255A"/>
    <w:rsid w:val="00C85F06"/>
    <w:rsid w:val="00E8764F"/>
    <w:rsid w:val="00F14CBB"/>
    <w:rsid w:val="00F501F0"/>
    <w:rsid w:val="00F7058E"/>
    <w:rsid w:val="00FC2351"/>
    <w:rsid w:val="00FE697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E2608"/>
  <w15:chartTrackingRefBased/>
  <w15:docId w15:val="{DC8FC182-8EF5-4C50-91D8-8D3D0A7F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C4F"/>
    <w:pPr>
      <w:spacing w:after="200" w:line="276" w:lineRule="auto"/>
    </w:pPr>
    <w:rPr>
      <w:rFonts w:ascii="Calibri" w:eastAsia="Calibri" w:hAnsi="Calibri" w:cs="Times New Roman"/>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C4F"/>
    <w:pPr>
      <w:ind w:left="720"/>
      <w:contextualSpacing/>
    </w:pPr>
  </w:style>
  <w:style w:type="paragraph" w:styleId="Footer">
    <w:name w:val="footer"/>
    <w:basedOn w:val="Normal"/>
    <w:link w:val="FooterChar"/>
    <w:uiPriority w:val="99"/>
    <w:unhideWhenUsed/>
    <w:rsid w:val="00733C4F"/>
    <w:pPr>
      <w:tabs>
        <w:tab w:val="center" w:pos="4513"/>
        <w:tab w:val="right" w:pos="9026"/>
      </w:tabs>
    </w:pPr>
  </w:style>
  <w:style w:type="character" w:customStyle="1" w:styleId="FooterChar">
    <w:name w:val="Footer Char"/>
    <w:basedOn w:val="DefaultParagraphFont"/>
    <w:link w:val="Footer"/>
    <w:uiPriority w:val="99"/>
    <w:rsid w:val="00733C4F"/>
    <w:rPr>
      <w:rFonts w:ascii="Calibri" w:eastAsia="Calibri" w:hAnsi="Calibri" w:cs="Times New Roman"/>
      <w:szCs w:val="22"/>
      <w:lang w:bidi="ar-SA"/>
    </w:rPr>
  </w:style>
  <w:style w:type="paragraph" w:styleId="FootnoteText">
    <w:name w:val="footnote text"/>
    <w:basedOn w:val="Normal"/>
    <w:link w:val="FootnoteTextChar"/>
    <w:uiPriority w:val="99"/>
    <w:semiHidden/>
    <w:unhideWhenUsed/>
    <w:rsid w:val="00733C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3C4F"/>
    <w:rPr>
      <w:rFonts w:ascii="Calibri" w:eastAsia="Calibri" w:hAnsi="Calibri" w:cs="Times New Roman"/>
      <w:sz w:val="20"/>
      <w:lang w:bidi="ar-SA"/>
    </w:rPr>
  </w:style>
  <w:style w:type="character" w:styleId="FootnoteReference">
    <w:name w:val="footnote reference"/>
    <w:uiPriority w:val="99"/>
    <w:semiHidden/>
    <w:unhideWhenUsed/>
    <w:rsid w:val="00733C4F"/>
    <w:rPr>
      <w:vertAlign w:val="superscript"/>
    </w:rPr>
  </w:style>
  <w:style w:type="paragraph" w:customStyle="1" w:styleId="Default">
    <w:name w:val="Default"/>
    <w:rsid w:val="00733C4F"/>
    <w:pPr>
      <w:widowControl w:val="0"/>
      <w:autoSpaceDE w:val="0"/>
      <w:autoSpaceDN w:val="0"/>
      <w:adjustRightInd w:val="0"/>
      <w:spacing w:after="0" w:line="240" w:lineRule="auto"/>
    </w:pPr>
    <w:rPr>
      <w:rFonts w:ascii="Arial" w:eastAsia="Times New Roman" w:hAnsi="Arial" w:cs="Arial"/>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8</Pages>
  <Words>2217</Words>
  <Characters>12643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Budhiraja</dc:creator>
  <cp:keywords/>
  <dc:description/>
  <cp:lastModifiedBy>Kartikey Joshi</cp:lastModifiedBy>
  <cp:revision>18</cp:revision>
  <dcterms:created xsi:type="dcterms:W3CDTF">2020-10-14T04:25:00Z</dcterms:created>
  <dcterms:modified xsi:type="dcterms:W3CDTF">2023-10-06T05:07:00Z</dcterms:modified>
</cp:coreProperties>
</file>